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C81A" w14:textId="77777777" w:rsidR="00CA3BA2" w:rsidRPr="00CA3BA2" w:rsidRDefault="00CA3BA2" w:rsidP="00CA3BA2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4"/>
      </w:tblGrid>
      <w:tr w:rsidR="00CA3BA2" w:rsidRPr="00CA3BA2" w14:paraId="3BB5E624" w14:textId="77777777" w:rsidTr="005C7179">
        <w:trPr>
          <w:trHeight w:val="477"/>
        </w:trPr>
        <w:tc>
          <w:tcPr>
            <w:tcW w:w="4714" w:type="dxa"/>
          </w:tcPr>
          <w:p w14:paraId="40E06077" w14:textId="1298407A" w:rsidR="00CA3BA2" w:rsidRPr="00CA3BA2" w:rsidRDefault="00CA3BA2" w:rsidP="005C7179">
            <w:pPr>
              <w:jc w:val="both"/>
            </w:pPr>
            <w:r w:rsidRPr="00CA3BA2">
              <w:t xml:space="preserve"> </w:t>
            </w:r>
            <w:r w:rsidRPr="00CA3BA2">
              <w:rPr>
                <w:b/>
                <w:bCs/>
              </w:rPr>
              <w:t xml:space="preserve">Titolo dello studio </w:t>
            </w:r>
          </w:p>
        </w:tc>
        <w:tc>
          <w:tcPr>
            <w:tcW w:w="4714" w:type="dxa"/>
          </w:tcPr>
          <w:p w14:paraId="7AE198F5" w14:textId="439773EE" w:rsidR="00CA3BA2" w:rsidRPr="00CA3BA2" w:rsidRDefault="001C64C7" w:rsidP="00625463">
            <w:pPr>
              <w:jc w:val="both"/>
            </w:pPr>
            <w:r>
              <w:t xml:space="preserve">MITO 25.1: Studio randomizzato, su base molecolare, di fase II con </w:t>
            </w:r>
            <w:proofErr w:type="spellStart"/>
            <w:r>
              <w:t>Carboplatino-Paclitaxel-Bevacizumab</w:t>
            </w:r>
            <w:proofErr w:type="spellEnd"/>
            <w:r>
              <w:t xml:space="preserve"> vs </w:t>
            </w:r>
            <w:proofErr w:type="spellStart"/>
            <w:r>
              <w:t>Carboplatino-Paclitaxel-Bevacizumab-Rucaparib</w:t>
            </w:r>
            <w:proofErr w:type="spellEnd"/>
            <w:r>
              <w:t xml:space="preserve"> vs </w:t>
            </w:r>
            <w:proofErr w:type="spellStart"/>
            <w:r>
              <w:t>Carboplatino-Paclitaxel-Rucaparib</w:t>
            </w:r>
            <w:proofErr w:type="spellEnd"/>
            <w:r>
              <w:t xml:space="preserve">, in accordo allo status HRD, in pazienti con tumore ovarico avanzato (stadio IIIB-C-IV), primitivo del peritoneo e della tuba di </w:t>
            </w:r>
            <w:proofErr w:type="spellStart"/>
            <w:r>
              <w:t>Falloppio</w:t>
            </w:r>
            <w:proofErr w:type="spellEnd"/>
            <w:r>
              <w:t xml:space="preserve">, preceduto da uno studio di Fase I, di identificazione della dose, con </w:t>
            </w:r>
            <w:proofErr w:type="spellStart"/>
            <w:r>
              <w:t>Rucaparib</w:t>
            </w:r>
            <w:proofErr w:type="spellEnd"/>
            <w:r>
              <w:t xml:space="preserve"> in combinazione con </w:t>
            </w:r>
            <w:proofErr w:type="spellStart"/>
            <w:r>
              <w:t>Bevacizumab</w:t>
            </w:r>
            <w:proofErr w:type="spellEnd"/>
            <w:r>
              <w:t>.</w:t>
            </w:r>
          </w:p>
        </w:tc>
      </w:tr>
      <w:tr w:rsidR="00CA3BA2" w:rsidRPr="00CA3BA2" w14:paraId="15C63AE3" w14:textId="77777777" w:rsidTr="005C7179">
        <w:trPr>
          <w:trHeight w:val="224"/>
        </w:trPr>
        <w:tc>
          <w:tcPr>
            <w:tcW w:w="4714" w:type="dxa"/>
          </w:tcPr>
          <w:p w14:paraId="4C4AC5B9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Versione e data del protocollo </w:t>
            </w:r>
          </w:p>
        </w:tc>
        <w:tc>
          <w:tcPr>
            <w:tcW w:w="4714" w:type="dxa"/>
          </w:tcPr>
          <w:p w14:paraId="6B903175" w14:textId="0D103D72" w:rsidR="00CA3BA2" w:rsidRPr="00CA3BA2" w:rsidRDefault="001C64C7" w:rsidP="005C7179">
            <w:pPr>
              <w:jc w:val="both"/>
            </w:pPr>
            <w:r>
              <w:t>5.0 del 20.07.2022</w:t>
            </w:r>
          </w:p>
        </w:tc>
      </w:tr>
      <w:tr w:rsidR="00CA3BA2" w:rsidRPr="00CA3BA2" w14:paraId="27BF9170" w14:textId="77777777" w:rsidTr="005C7179">
        <w:trPr>
          <w:trHeight w:val="477"/>
        </w:trPr>
        <w:tc>
          <w:tcPr>
            <w:tcW w:w="4714" w:type="dxa"/>
          </w:tcPr>
          <w:p w14:paraId="70CDC0CC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Pazienti in studio </w:t>
            </w:r>
          </w:p>
        </w:tc>
        <w:tc>
          <w:tcPr>
            <w:tcW w:w="4714" w:type="dxa"/>
          </w:tcPr>
          <w:p w14:paraId="206A4401" w14:textId="5ECDE991" w:rsidR="00CA3BA2" w:rsidRPr="00CA3BA2" w:rsidRDefault="001C64C7" w:rsidP="005C7179">
            <w:pPr>
              <w:jc w:val="both"/>
            </w:pPr>
            <w:r>
              <w:t xml:space="preserve">tumore ovarico epiteliale sieroso ed </w:t>
            </w:r>
            <w:proofErr w:type="spellStart"/>
            <w:r>
              <w:t>endometrioide</w:t>
            </w:r>
            <w:proofErr w:type="spellEnd"/>
            <w:r>
              <w:t xml:space="preserve"> di alto grado, stadio FIGO IIIB-C-IV, primitivo del peritoneo e/o tuba di </w:t>
            </w:r>
            <w:proofErr w:type="spellStart"/>
            <w:r>
              <w:t>Falloppio</w:t>
            </w:r>
            <w:proofErr w:type="spellEnd"/>
            <w:r>
              <w:t>.</w:t>
            </w:r>
          </w:p>
        </w:tc>
      </w:tr>
      <w:tr w:rsidR="00CA3BA2" w:rsidRPr="00CA3BA2" w14:paraId="5E3F029B" w14:textId="77777777" w:rsidTr="005C7179">
        <w:trPr>
          <w:trHeight w:val="165"/>
        </w:trPr>
        <w:tc>
          <w:tcPr>
            <w:tcW w:w="4714" w:type="dxa"/>
          </w:tcPr>
          <w:p w14:paraId="7B3B3C9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Gruppo di intervento </w:t>
            </w:r>
          </w:p>
        </w:tc>
        <w:tc>
          <w:tcPr>
            <w:tcW w:w="4714" w:type="dxa"/>
          </w:tcPr>
          <w:p w14:paraId="37666598" w14:textId="77777777" w:rsidR="001C64C7" w:rsidRDefault="001C64C7" w:rsidP="005C7179">
            <w:pPr>
              <w:jc w:val="both"/>
            </w:pPr>
            <w:r>
              <w:t xml:space="preserve">Braccio B: </w:t>
            </w:r>
            <w:proofErr w:type="spellStart"/>
            <w:r>
              <w:t>Rucaparib</w:t>
            </w:r>
            <w:proofErr w:type="spellEnd"/>
            <w:r>
              <w:t xml:space="preserve"> per via orale 600 mg BID sarà somministrato in un ciclo di 21 giorni fino a progressione di malattia, tossicità inaccettabile o rifiuto da parte della paziente e per un massimo di 24 mesi di mantenimento. </w:t>
            </w:r>
          </w:p>
          <w:p w14:paraId="2A8F8070" w14:textId="5C94113E" w:rsidR="00CA3BA2" w:rsidRPr="00CA3BA2" w:rsidRDefault="001C64C7" w:rsidP="005C7179">
            <w:pPr>
              <w:jc w:val="both"/>
            </w:pPr>
            <w:r>
              <w:t xml:space="preserve">Braccio C: </w:t>
            </w:r>
            <w:proofErr w:type="spellStart"/>
            <w:r>
              <w:t>Rucaparib</w:t>
            </w:r>
            <w:proofErr w:type="spellEnd"/>
            <w:r>
              <w:t xml:space="preserve"> alla dose identificata durante la fase I sarà somministrato in un ciclo di 21 giorni fino a progressione di malattia, tossicità inaccettabile o rifiuto da parte della paziente e per un massimo di 24 mesi di mantenimento, in combinazione con </w:t>
            </w:r>
            <w:proofErr w:type="spellStart"/>
            <w:r>
              <w:t>Bevacizumab</w:t>
            </w:r>
            <w:proofErr w:type="spellEnd"/>
            <w:r>
              <w:t xml:space="preserve"> 15 mg/kg iv d1 q 21 per 22 cicli totali</w:t>
            </w:r>
          </w:p>
        </w:tc>
      </w:tr>
      <w:tr w:rsidR="00CA3BA2" w:rsidRPr="00CA3BA2" w14:paraId="4CA9E9DC" w14:textId="77777777" w:rsidTr="005C7179">
        <w:trPr>
          <w:trHeight w:val="165"/>
        </w:trPr>
        <w:tc>
          <w:tcPr>
            <w:tcW w:w="4714" w:type="dxa"/>
          </w:tcPr>
          <w:p w14:paraId="3253DDCF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Gruppo di controllo </w:t>
            </w:r>
          </w:p>
        </w:tc>
        <w:tc>
          <w:tcPr>
            <w:tcW w:w="4714" w:type="dxa"/>
          </w:tcPr>
          <w:p w14:paraId="56711E72" w14:textId="3D19C5A4" w:rsidR="00CA3BA2" w:rsidRPr="00CA3BA2" w:rsidRDefault="001C64C7" w:rsidP="005C7179">
            <w:pPr>
              <w:jc w:val="both"/>
            </w:pPr>
            <w:proofErr w:type="spellStart"/>
            <w:r>
              <w:t>Carboplatin</w:t>
            </w:r>
            <w:proofErr w:type="spellEnd"/>
            <w:r>
              <w:t xml:space="preserve"> AUC 5 d1 q21 per 6 cicli; </w:t>
            </w:r>
            <w:proofErr w:type="spellStart"/>
            <w:r>
              <w:t>Paclitaxel</w:t>
            </w:r>
            <w:proofErr w:type="spellEnd"/>
            <w:r>
              <w:t xml:space="preserve"> 175 mg/mq d1 q 21 per 6 cicli </w:t>
            </w:r>
            <w:proofErr w:type="spellStart"/>
            <w:r>
              <w:t>Bevacizumab</w:t>
            </w:r>
            <w:proofErr w:type="spellEnd"/>
            <w:r>
              <w:t xml:space="preserve"> 15 mg/kg d1 q 21 per 22 cicli.</w:t>
            </w:r>
          </w:p>
        </w:tc>
      </w:tr>
      <w:tr w:rsidR="00CA3BA2" w:rsidRPr="00CA3BA2" w14:paraId="4839FD74" w14:textId="77777777" w:rsidTr="005C7179">
        <w:trPr>
          <w:trHeight w:val="479"/>
        </w:trPr>
        <w:tc>
          <w:tcPr>
            <w:tcW w:w="4714" w:type="dxa"/>
          </w:tcPr>
          <w:p w14:paraId="2D7D6CB9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Promotore </w:t>
            </w:r>
          </w:p>
        </w:tc>
        <w:tc>
          <w:tcPr>
            <w:tcW w:w="4714" w:type="dxa"/>
          </w:tcPr>
          <w:p w14:paraId="0B2FEA3E" w14:textId="58FB0284" w:rsidR="00CA3BA2" w:rsidRPr="00CA3BA2" w:rsidRDefault="00625463" w:rsidP="005C7179">
            <w:pPr>
              <w:jc w:val="both"/>
            </w:pPr>
            <w:r>
              <w:t>Fondazione Policlinico Universitario Agostino Gemelli IRCCS</w:t>
            </w:r>
          </w:p>
        </w:tc>
      </w:tr>
      <w:tr w:rsidR="00CA3BA2" w:rsidRPr="00CA3BA2" w14:paraId="3B3E0D64" w14:textId="77777777" w:rsidTr="005C7179">
        <w:trPr>
          <w:trHeight w:val="605"/>
        </w:trPr>
        <w:tc>
          <w:tcPr>
            <w:tcW w:w="4714" w:type="dxa"/>
          </w:tcPr>
          <w:p w14:paraId="73BD161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Centro Coordinatore </w:t>
            </w:r>
          </w:p>
        </w:tc>
        <w:tc>
          <w:tcPr>
            <w:tcW w:w="4714" w:type="dxa"/>
          </w:tcPr>
          <w:p w14:paraId="0407D333" w14:textId="3A8B88BE" w:rsidR="00CA3BA2" w:rsidRPr="00CA3BA2" w:rsidRDefault="00625463" w:rsidP="005C7179">
            <w:pPr>
              <w:jc w:val="both"/>
            </w:pPr>
            <w:r>
              <w:t>Fondazione Policlinico Universitario Agostino Gemelli IRCCS</w:t>
            </w:r>
          </w:p>
        </w:tc>
      </w:tr>
      <w:tr w:rsidR="00CA3BA2" w:rsidRPr="00CA3BA2" w14:paraId="60CC6C5C" w14:textId="77777777" w:rsidTr="005C7179">
        <w:trPr>
          <w:trHeight w:val="272"/>
        </w:trPr>
        <w:tc>
          <w:tcPr>
            <w:tcW w:w="4714" w:type="dxa"/>
          </w:tcPr>
          <w:p w14:paraId="56948234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Clinical Research </w:t>
            </w:r>
          </w:p>
          <w:p w14:paraId="1A53ECAB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Organization (CRO) </w:t>
            </w:r>
          </w:p>
        </w:tc>
        <w:tc>
          <w:tcPr>
            <w:tcW w:w="4714" w:type="dxa"/>
          </w:tcPr>
          <w:p w14:paraId="20AB258E" w14:textId="10076E4D" w:rsidR="00CA3BA2" w:rsidRPr="00CA3BA2" w:rsidRDefault="00625463" w:rsidP="005C7179">
            <w:pPr>
              <w:jc w:val="both"/>
            </w:pPr>
            <w:r>
              <w:t>NA</w:t>
            </w:r>
          </w:p>
        </w:tc>
      </w:tr>
      <w:tr w:rsidR="00CA3BA2" w:rsidRPr="00CA3BA2" w14:paraId="4CF918B9" w14:textId="77777777" w:rsidTr="005C7179">
        <w:trPr>
          <w:trHeight w:val="99"/>
        </w:trPr>
        <w:tc>
          <w:tcPr>
            <w:tcW w:w="4714" w:type="dxa"/>
          </w:tcPr>
          <w:p w14:paraId="1D65F2F8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Centri partecipanti </w:t>
            </w:r>
          </w:p>
        </w:tc>
        <w:tc>
          <w:tcPr>
            <w:tcW w:w="4714" w:type="dxa"/>
          </w:tcPr>
          <w:p w14:paraId="6B26DCFF" w14:textId="4189CB4A" w:rsidR="00CA3BA2" w:rsidRPr="00CA3BA2" w:rsidRDefault="001C64C7" w:rsidP="005C7179">
            <w:pPr>
              <w:jc w:val="both"/>
            </w:pPr>
            <w:r>
              <w:t>Circa 30</w:t>
            </w:r>
          </w:p>
        </w:tc>
      </w:tr>
      <w:tr w:rsidR="00CA3BA2" w:rsidRPr="00CA3BA2" w14:paraId="0839966E" w14:textId="77777777" w:rsidTr="005C7179">
        <w:trPr>
          <w:trHeight w:val="99"/>
        </w:trPr>
        <w:tc>
          <w:tcPr>
            <w:tcW w:w="4714" w:type="dxa"/>
          </w:tcPr>
          <w:p w14:paraId="0B36553D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Numero di soggetti </w:t>
            </w:r>
          </w:p>
        </w:tc>
        <w:tc>
          <w:tcPr>
            <w:tcW w:w="4714" w:type="dxa"/>
          </w:tcPr>
          <w:p w14:paraId="3E70CB71" w14:textId="4D44E764" w:rsidR="00CA3BA2" w:rsidRPr="00CA3BA2" w:rsidRDefault="001C64C7" w:rsidP="0085221F">
            <w:pPr>
              <w:jc w:val="both"/>
            </w:pPr>
            <w:r>
              <w:t>300</w:t>
            </w:r>
          </w:p>
        </w:tc>
      </w:tr>
      <w:tr w:rsidR="00CA3BA2" w:rsidRPr="00CA3BA2" w14:paraId="2237CA64" w14:textId="77777777" w:rsidTr="005C7179">
        <w:trPr>
          <w:trHeight w:val="605"/>
        </w:trPr>
        <w:tc>
          <w:tcPr>
            <w:tcW w:w="4714" w:type="dxa"/>
          </w:tcPr>
          <w:p w14:paraId="244CAE6A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Durata dello studio </w:t>
            </w:r>
          </w:p>
        </w:tc>
        <w:tc>
          <w:tcPr>
            <w:tcW w:w="4714" w:type="dxa"/>
          </w:tcPr>
          <w:p w14:paraId="2CCBD1AE" w14:textId="4753DC9B" w:rsidR="00CA3BA2" w:rsidRPr="00CA3BA2" w:rsidRDefault="001C64C7" w:rsidP="005C7179">
            <w:pPr>
              <w:jc w:val="both"/>
            </w:pPr>
            <w:r>
              <w:t xml:space="preserve">La durata totale stimata del trial è di 64 mesi, inclusi 4 mesi per l’arruolamento dei pazienti nella Fase I dello studio, 30 mesi per reclutare le pazienti </w:t>
            </w:r>
            <w:r>
              <w:lastRenderedPageBreak/>
              <w:t>nella Fase II dello studio e 30 mesi di follow-up di sopravvivenza calcolati dalla randomizzazione dell’ultima paziente.</w:t>
            </w:r>
          </w:p>
        </w:tc>
      </w:tr>
      <w:tr w:rsidR="00CA3BA2" w:rsidRPr="00CA3BA2" w14:paraId="47082B7A" w14:textId="77777777" w:rsidTr="005C7179">
        <w:trPr>
          <w:trHeight w:val="99"/>
        </w:trPr>
        <w:tc>
          <w:tcPr>
            <w:tcW w:w="4714" w:type="dxa"/>
          </w:tcPr>
          <w:p w14:paraId="515C316C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lastRenderedPageBreak/>
              <w:t xml:space="preserve">Periodo di arruolamento </w:t>
            </w:r>
          </w:p>
        </w:tc>
        <w:tc>
          <w:tcPr>
            <w:tcW w:w="4714" w:type="dxa"/>
          </w:tcPr>
          <w:p w14:paraId="58E0E6EE" w14:textId="5A6591B0" w:rsidR="00CA3BA2" w:rsidRPr="00CA3BA2" w:rsidRDefault="001C64C7" w:rsidP="005C7179">
            <w:pPr>
              <w:jc w:val="both"/>
            </w:pPr>
            <w:r>
              <w:t>30 mesi</w:t>
            </w:r>
          </w:p>
        </w:tc>
      </w:tr>
      <w:tr w:rsidR="00CA3BA2" w:rsidRPr="00CA3BA2" w14:paraId="0D42033D" w14:textId="77777777" w:rsidTr="005C7179">
        <w:trPr>
          <w:trHeight w:val="99"/>
        </w:trPr>
        <w:tc>
          <w:tcPr>
            <w:tcW w:w="4714" w:type="dxa"/>
          </w:tcPr>
          <w:p w14:paraId="1F78BA3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Disegno dello studio </w:t>
            </w:r>
          </w:p>
        </w:tc>
        <w:tc>
          <w:tcPr>
            <w:tcW w:w="4714" w:type="dxa"/>
          </w:tcPr>
          <w:p w14:paraId="749D36E1" w14:textId="77777777" w:rsidR="0085221F" w:rsidRDefault="001C64C7" w:rsidP="0085221F">
            <w:pPr>
              <w:jc w:val="both"/>
            </w:pPr>
            <w:r>
              <w:t xml:space="preserve">Studio randomizzato, in aperto, di fase I-II, multicentrico, che ha lo scopo di valutare la sopravvivenza libera da progressione in pazienti con tumore ovarico di alto grado avanzato, trattate con </w:t>
            </w:r>
            <w:proofErr w:type="spellStart"/>
            <w:r>
              <w:t>Carboplatino-Paclitaxel-Bevacizumab</w:t>
            </w:r>
            <w:proofErr w:type="spellEnd"/>
            <w:r>
              <w:t xml:space="preserve"> (in combinazione e mantenimento) vs </w:t>
            </w:r>
            <w:proofErr w:type="spellStart"/>
            <w:r>
              <w:t>Carb</w:t>
            </w:r>
            <w:r>
              <w:t>oplatino-Paclitaxel-Bevacizumab-</w:t>
            </w:r>
            <w:r>
              <w:t>Rucaparib</w:t>
            </w:r>
            <w:proofErr w:type="spellEnd"/>
            <w:r>
              <w:t xml:space="preserve"> (</w:t>
            </w:r>
            <w:proofErr w:type="spellStart"/>
            <w:r>
              <w:t>Rucaparib</w:t>
            </w:r>
            <w:proofErr w:type="spellEnd"/>
            <w:r>
              <w:t xml:space="preserve"> solo i</w:t>
            </w:r>
            <w:r>
              <w:t xml:space="preserve">n mantenimento) vs </w:t>
            </w:r>
            <w:proofErr w:type="spellStart"/>
            <w:r>
              <w:t>Carboplatino-</w:t>
            </w:r>
            <w:r>
              <w:t>Paclitaxel-Rucaparib</w:t>
            </w:r>
            <w:proofErr w:type="spellEnd"/>
            <w:r>
              <w:t xml:space="preserve"> (</w:t>
            </w:r>
            <w:proofErr w:type="spellStart"/>
            <w:r>
              <w:t>Rucaparib</w:t>
            </w:r>
            <w:proofErr w:type="spellEnd"/>
            <w:r>
              <w:t xml:space="preserve"> solo in mantenimento) in accordo allo stato HRD. Lo studio testerà l’ipotesi che il trattamento con </w:t>
            </w:r>
            <w:proofErr w:type="spellStart"/>
            <w:r>
              <w:t>Carboplatino-Paclitaxel-Rucaparib</w:t>
            </w:r>
            <w:proofErr w:type="spellEnd"/>
            <w:r>
              <w:t xml:space="preserve"> aumenti la sopravvivenza libera da progressione rispetto al trattamento standard con </w:t>
            </w:r>
            <w:proofErr w:type="spellStart"/>
            <w:r>
              <w:t>Carboplatino-Paclitaxel-Bevacizumab</w:t>
            </w:r>
            <w:proofErr w:type="spellEnd"/>
            <w:r>
              <w:t xml:space="preserve">, nelle pazienti HR </w:t>
            </w:r>
            <w:proofErr w:type="spellStart"/>
            <w:r>
              <w:t>proficient</w:t>
            </w:r>
            <w:proofErr w:type="spellEnd"/>
            <w:r>
              <w:t xml:space="preserve">, e </w:t>
            </w:r>
            <w:r>
              <w:t xml:space="preserve">che il trattamento </w:t>
            </w:r>
            <w:proofErr w:type="spellStart"/>
            <w:r>
              <w:t>Carboplatino-</w:t>
            </w:r>
            <w:r>
              <w:t>Paclitaxel-Bevacizumab-Rucaparib</w:t>
            </w:r>
            <w:proofErr w:type="spellEnd"/>
            <w:r>
              <w:t xml:space="preserve"> aumenti la sopravvivenza libera da progressione rispetto al trattamento standard con </w:t>
            </w:r>
            <w:proofErr w:type="spellStart"/>
            <w:r>
              <w:t>Carboplatino-Paclitaxel-Rucaparib</w:t>
            </w:r>
            <w:proofErr w:type="spellEnd"/>
            <w:r>
              <w:t xml:space="preserve"> nelle pazienti HRD positive</w:t>
            </w:r>
          </w:p>
          <w:p w14:paraId="7012A894" w14:textId="37E5EB5F" w:rsidR="001C64C7" w:rsidRDefault="001C64C7" w:rsidP="0085221F">
            <w:pPr>
              <w:jc w:val="both"/>
            </w:pPr>
            <w:r>
              <w:t xml:space="preserve">La fase II randomizzata sarà preceduta da uno studio di Fase I a braccio singolo che verrà svolto solo nel centro coordinatore, che ha lo scopo di determinare la massima dose tollerata (MTD) della combinazione </w:t>
            </w:r>
            <w:proofErr w:type="spellStart"/>
            <w:r>
              <w:t>Rucaparib-Bevacizumab</w:t>
            </w:r>
            <w:proofErr w:type="spellEnd"/>
            <w:r>
              <w:t xml:space="preserve">. Una volta stabilita la Dose Massima Tollerata, inizierà l’arruolamento dello studio randomizzato. La fase I sarà condotta secondo la serie di Fibonacci. Approssimativamente 18 pazienti saranno arruolati nella Fase I e, una volta identificata la MTD, 300 pazienti saranno randomizzate nei centri partecipanti allo studio a ricevere </w:t>
            </w:r>
            <w:proofErr w:type="spellStart"/>
            <w:r>
              <w:t>Carboplatin</w:t>
            </w:r>
            <w:proofErr w:type="spellEnd"/>
            <w:r>
              <w:t/>
            </w:r>
            <w:proofErr w:type="spellStart"/>
            <w:r>
              <w:t>Paclitaxel-Bevacizumab</w:t>
            </w:r>
            <w:proofErr w:type="spellEnd"/>
            <w:r>
              <w:t xml:space="preserve">, o </w:t>
            </w:r>
            <w:proofErr w:type="spellStart"/>
            <w:r>
              <w:t>Carboplatin-Paclitaxel-Rucaparib</w:t>
            </w:r>
            <w:proofErr w:type="spellEnd"/>
            <w:r>
              <w:t xml:space="preserve">, per quanto riguarda la coorte delle pazienti HRD negative, e </w:t>
            </w:r>
            <w:proofErr w:type="spellStart"/>
            <w:r>
              <w:t>Carboplatin-Paclitaxel-Beva</w:t>
            </w:r>
            <w:r>
              <w:t>cizumab-Rucaparib</w:t>
            </w:r>
            <w:proofErr w:type="spellEnd"/>
            <w:r>
              <w:t xml:space="preserve"> o </w:t>
            </w:r>
            <w:proofErr w:type="spellStart"/>
            <w:r>
              <w:t>Carboplatin-</w:t>
            </w:r>
            <w:r>
              <w:t>Paclitaxel-Rucaparib</w:t>
            </w:r>
            <w:proofErr w:type="spellEnd"/>
            <w:r>
              <w:t xml:space="preserve">, per quanto riguarda la coorte delle pazienti HRD positive (vedere schema </w:t>
            </w:r>
            <w:proofErr w:type="spellStart"/>
            <w:r>
              <w:t>sottoriportato</w:t>
            </w:r>
            <w:proofErr w:type="spellEnd"/>
            <w:r>
              <w:t>).</w:t>
            </w:r>
          </w:p>
          <w:p w14:paraId="4A8671BD" w14:textId="266964BD" w:rsidR="001C64C7" w:rsidRDefault="001C64C7" w:rsidP="0085221F">
            <w:pPr>
              <w:jc w:val="both"/>
            </w:pPr>
          </w:p>
          <w:p w14:paraId="344A61EE" w14:textId="0A8378A7" w:rsidR="001C64C7" w:rsidRDefault="001C64C7" w:rsidP="0085221F">
            <w:pPr>
              <w:jc w:val="both"/>
            </w:pPr>
          </w:p>
          <w:p w14:paraId="70B849AD" w14:textId="77777777" w:rsidR="001C64C7" w:rsidRDefault="001C64C7" w:rsidP="0085221F">
            <w:pPr>
              <w:jc w:val="both"/>
            </w:pPr>
          </w:p>
          <w:p w14:paraId="57A314FF" w14:textId="77777777" w:rsidR="001C64C7" w:rsidRDefault="001C64C7" w:rsidP="0085221F">
            <w:pPr>
              <w:jc w:val="both"/>
            </w:pPr>
            <w:r>
              <w:lastRenderedPageBreak/>
              <w:t xml:space="preserve">Disegno dello studio Fase I: </w:t>
            </w:r>
          </w:p>
          <w:p w14:paraId="40B89F5B" w14:textId="77777777" w:rsidR="001C64C7" w:rsidRDefault="001C64C7" w:rsidP="0085221F">
            <w:pPr>
              <w:jc w:val="both"/>
            </w:pPr>
            <w:proofErr w:type="spellStart"/>
            <w:r>
              <w:t>Bevacizumab</w:t>
            </w:r>
            <w:proofErr w:type="spellEnd"/>
            <w:r>
              <w:t xml:space="preserve"> 15 mg/kg q 21 per 22 cicli + </w:t>
            </w:r>
            <w:proofErr w:type="spellStart"/>
            <w:r>
              <w:t>Rucaparib</w:t>
            </w:r>
            <w:proofErr w:type="spellEnd"/>
            <w:r>
              <w:t xml:space="preserve"> </w:t>
            </w:r>
            <w:proofErr w:type="spellStart"/>
            <w:r>
              <w:t>bid</w:t>
            </w:r>
            <w:proofErr w:type="spellEnd"/>
            <w:r>
              <w:t>, dosaggi a scalare, q 28 per 24 cicli come mantenimento. Pazienti con tumore ovarico di alto grado, stadio IIIB–C-IV, documentato istologicamente (indipendentemente dal tumore residuo) saranno inclusi in accordo al disegno di Simon 3 + 3. Le pazienti continueranno a ricevere il trattamento di mantenimento fino a (progressione clinica intesa come scadimento delle condizioni cliniche attribuibili alla malattia senza evidenza radiologica di progressione è considerata progressione di malattia), tossicità inaccettabile del trattamento, ritiro del consenso o decisione medica.</w:t>
            </w:r>
          </w:p>
          <w:p w14:paraId="74DDC952" w14:textId="77777777" w:rsidR="001C64C7" w:rsidRDefault="001C64C7" w:rsidP="0085221F">
            <w:pPr>
              <w:jc w:val="both"/>
            </w:pPr>
            <w:r>
              <w:t xml:space="preserve">Disegno dello studio Fase II: </w:t>
            </w:r>
          </w:p>
          <w:p w14:paraId="2A4105B0" w14:textId="77777777" w:rsidR="001C64C7" w:rsidRDefault="001C64C7" w:rsidP="0085221F">
            <w:pPr>
              <w:jc w:val="both"/>
            </w:pPr>
            <w:r>
              <w:t xml:space="preserve">Pazienti HRD + </w:t>
            </w:r>
          </w:p>
          <w:p w14:paraId="3267D3EF" w14:textId="77777777" w:rsidR="001C64C7" w:rsidRDefault="001C64C7" w:rsidP="0085221F">
            <w:pPr>
              <w:jc w:val="both"/>
            </w:pPr>
            <w:r>
              <w:t xml:space="preserve">- BRACCIO B: </w:t>
            </w:r>
            <w:proofErr w:type="spellStart"/>
            <w:r>
              <w:t>Carboplatino</w:t>
            </w:r>
            <w:proofErr w:type="spellEnd"/>
            <w:r>
              <w:t xml:space="preserve"> AUC 5+ </w:t>
            </w:r>
            <w:proofErr w:type="spellStart"/>
            <w:r>
              <w:t>Paclitaxel</w:t>
            </w:r>
            <w:proofErr w:type="spellEnd"/>
            <w:r>
              <w:t xml:space="preserve"> 175 mg/mq q 21 per 6 cicli, seguiti da </w:t>
            </w:r>
            <w:proofErr w:type="spellStart"/>
            <w:r>
              <w:t>Rucaparib</w:t>
            </w:r>
            <w:proofErr w:type="spellEnd"/>
            <w:r>
              <w:t xml:space="preserve"> 600 mg Versione 5.0 del 20.07.2022 5 BID q 21 per 2 anni, in mantenimento;</w:t>
            </w:r>
          </w:p>
          <w:p w14:paraId="4FFC504F" w14:textId="77777777" w:rsidR="001C64C7" w:rsidRDefault="001C64C7" w:rsidP="0085221F">
            <w:pPr>
              <w:jc w:val="both"/>
            </w:pPr>
            <w:r>
              <w:t xml:space="preserve">- BRACCIO C: </w:t>
            </w:r>
            <w:proofErr w:type="spellStart"/>
            <w:r>
              <w:t>Carboplatino</w:t>
            </w:r>
            <w:proofErr w:type="spellEnd"/>
            <w:r>
              <w:t xml:space="preserve"> AUC 5+ </w:t>
            </w:r>
            <w:proofErr w:type="spellStart"/>
            <w:r>
              <w:t>Paclitaxel</w:t>
            </w:r>
            <w:proofErr w:type="spellEnd"/>
            <w:r>
              <w:t xml:space="preserve"> 175 mg/mq q 21 per 6 cicli + </w:t>
            </w:r>
            <w:proofErr w:type="spellStart"/>
            <w:r>
              <w:t>Bevacizumab</w:t>
            </w:r>
            <w:proofErr w:type="spellEnd"/>
            <w:r>
              <w:t xml:space="preserve"> 15 mg/kg q 21 per 5 cicli, (a partire dal ciclo 2) seguiti da </w:t>
            </w:r>
            <w:proofErr w:type="spellStart"/>
            <w:r>
              <w:t>Bevacizumab</w:t>
            </w:r>
            <w:proofErr w:type="spellEnd"/>
            <w:r>
              <w:t xml:space="preserve"> 15 mg/kg q 21 fino a raggiungere 22 cicli in totale + </w:t>
            </w:r>
            <w:proofErr w:type="spellStart"/>
            <w:r>
              <w:t>Rucaparib</w:t>
            </w:r>
            <w:proofErr w:type="spellEnd"/>
            <w:r>
              <w:t xml:space="preserve"> alla dose identificata durante la Fase I, q 21 mg per 2 anni, in mantenimento. </w:t>
            </w:r>
          </w:p>
          <w:p w14:paraId="651BB4FF" w14:textId="362B8169" w:rsidR="001C64C7" w:rsidRDefault="001C64C7" w:rsidP="0085221F">
            <w:pPr>
              <w:jc w:val="both"/>
            </w:pPr>
            <w:r>
              <w:t xml:space="preserve">Pazienti HRD </w:t>
            </w:r>
            <w:r>
              <w:t>–</w:t>
            </w:r>
            <w:r>
              <w:t xml:space="preserve"> </w:t>
            </w:r>
          </w:p>
          <w:p w14:paraId="1987EEAB" w14:textId="77777777" w:rsidR="001C64C7" w:rsidRDefault="001C64C7" w:rsidP="0085221F">
            <w:pPr>
              <w:jc w:val="both"/>
            </w:pPr>
            <w:r>
              <w:t xml:space="preserve">- BRACCIO A: </w:t>
            </w:r>
            <w:proofErr w:type="spellStart"/>
            <w:r>
              <w:t>Carboplatino</w:t>
            </w:r>
            <w:proofErr w:type="spellEnd"/>
            <w:r>
              <w:t xml:space="preserve"> AUC 5+Paclitaxel 175 mg/mq q 21 per 6 cicli + </w:t>
            </w:r>
            <w:proofErr w:type="spellStart"/>
            <w:r>
              <w:t>Bevacizumab</w:t>
            </w:r>
            <w:proofErr w:type="spellEnd"/>
            <w:r>
              <w:t xml:space="preserve"> 15 mg/kg q 21 per 5 cicli (a partire dal ciclo 2), seguiti da </w:t>
            </w:r>
            <w:proofErr w:type="spellStart"/>
            <w:r>
              <w:t>Bevacizumab</w:t>
            </w:r>
            <w:proofErr w:type="spellEnd"/>
            <w:r>
              <w:t xml:space="preserve"> 15 mg/kg q 21 fino a raggiungere 22 cicli in totale; </w:t>
            </w:r>
          </w:p>
          <w:p w14:paraId="758BBF97" w14:textId="3E107C93" w:rsidR="001C64C7" w:rsidRPr="00CA3BA2" w:rsidRDefault="001C64C7" w:rsidP="0085221F">
            <w:pPr>
              <w:jc w:val="both"/>
            </w:pPr>
            <w:r>
              <w:t xml:space="preserve">- BRACCIO B: </w:t>
            </w:r>
            <w:proofErr w:type="spellStart"/>
            <w:r>
              <w:t>Carboplatino</w:t>
            </w:r>
            <w:proofErr w:type="spellEnd"/>
            <w:r>
              <w:t xml:space="preserve"> AUC 5 + </w:t>
            </w:r>
            <w:proofErr w:type="spellStart"/>
            <w:r>
              <w:t>Paclitaxel</w:t>
            </w:r>
            <w:proofErr w:type="spellEnd"/>
            <w:r>
              <w:t xml:space="preserve"> 175 mg/mq q 21 per 6 cicli, seguiti da </w:t>
            </w:r>
            <w:proofErr w:type="spellStart"/>
            <w:r>
              <w:t>Rucaparib</w:t>
            </w:r>
            <w:proofErr w:type="spellEnd"/>
            <w:r>
              <w:t xml:space="preserve"> 600 mg BID, q 21 per 2 anni in mantenimento</w:t>
            </w:r>
          </w:p>
        </w:tc>
      </w:tr>
      <w:tr w:rsidR="00CA3BA2" w:rsidRPr="00CA3BA2" w14:paraId="13B895AA" w14:textId="77777777" w:rsidTr="005C7179">
        <w:trPr>
          <w:trHeight w:val="734"/>
        </w:trPr>
        <w:tc>
          <w:tcPr>
            <w:tcW w:w="4714" w:type="dxa"/>
          </w:tcPr>
          <w:p w14:paraId="3882E68B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lastRenderedPageBreak/>
              <w:t xml:space="preserve">Obiettivo primario </w:t>
            </w:r>
          </w:p>
        </w:tc>
        <w:tc>
          <w:tcPr>
            <w:tcW w:w="4714" w:type="dxa"/>
          </w:tcPr>
          <w:p w14:paraId="71D428FB" w14:textId="77777777" w:rsidR="001C64C7" w:rsidRDefault="001C64C7" w:rsidP="005C7179">
            <w:pPr>
              <w:jc w:val="both"/>
            </w:pPr>
            <w:r>
              <w:t xml:space="preserve">Obiettivo primario della Fase I: </w:t>
            </w:r>
          </w:p>
          <w:p w14:paraId="18FF73DC" w14:textId="413F6DC9" w:rsidR="001C64C7" w:rsidRDefault="001C64C7" w:rsidP="005C7179">
            <w:pPr>
              <w:jc w:val="both"/>
            </w:pPr>
            <w:r>
              <w:t xml:space="preserve">Massima Dose Tollerata (MTD) della combinazione </w:t>
            </w:r>
            <w:proofErr w:type="spellStart"/>
            <w:r>
              <w:t>Rucaparib-Bevacizumab</w:t>
            </w:r>
            <w:proofErr w:type="spellEnd"/>
          </w:p>
          <w:p w14:paraId="39639F7F" w14:textId="3DEA9F0F" w:rsidR="001C64C7" w:rsidRDefault="001C64C7" w:rsidP="005C7179">
            <w:pPr>
              <w:jc w:val="both"/>
            </w:pPr>
          </w:p>
          <w:p w14:paraId="6CE4C6B5" w14:textId="77777777" w:rsidR="001C64C7" w:rsidRDefault="001C64C7" w:rsidP="005C7179">
            <w:pPr>
              <w:jc w:val="both"/>
            </w:pPr>
          </w:p>
          <w:p w14:paraId="72CCAE97" w14:textId="77777777" w:rsidR="001C64C7" w:rsidRDefault="001C64C7" w:rsidP="005C7179">
            <w:pPr>
              <w:jc w:val="both"/>
            </w:pPr>
            <w:r>
              <w:lastRenderedPageBreak/>
              <w:t xml:space="preserve">Obiettivo primario della Fase II: </w:t>
            </w:r>
          </w:p>
          <w:p w14:paraId="10D342DB" w14:textId="5018B2DB" w:rsidR="001C64C7" w:rsidRPr="00CA3BA2" w:rsidRDefault="001C64C7" w:rsidP="005C7179">
            <w:pPr>
              <w:jc w:val="both"/>
            </w:pPr>
            <w:r>
              <w:t>Sopravvivenza libera da progressione (PFS), definita come tempo dalla data di randomizzazione alla data di progressione della malattia documentata, della ricaduta o morte (a seconda di quella che insorge per prima), in pazienti trattate in accordo allo stato HRD</w:t>
            </w:r>
          </w:p>
        </w:tc>
      </w:tr>
      <w:tr w:rsidR="00CA3BA2" w14:paraId="34FCC838" w14:textId="77777777" w:rsidTr="005C7179">
        <w:trPr>
          <w:trHeight w:val="734"/>
        </w:trPr>
        <w:tc>
          <w:tcPr>
            <w:tcW w:w="4714" w:type="dxa"/>
          </w:tcPr>
          <w:p w14:paraId="1EE60827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Obiettivi secondari </w:t>
            </w:r>
          </w:p>
        </w:tc>
        <w:tc>
          <w:tcPr>
            <w:tcW w:w="4714" w:type="dxa"/>
          </w:tcPr>
          <w:p w14:paraId="243125BD" w14:textId="77777777" w:rsidR="001C64C7" w:rsidRDefault="001C64C7" w:rsidP="00625463">
            <w:pPr>
              <w:jc w:val="both"/>
            </w:pPr>
            <w:r>
              <w:t xml:space="preserve">Obiettivi secondari della Fase I: </w:t>
            </w:r>
          </w:p>
          <w:p w14:paraId="610BA59F" w14:textId="77777777" w:rsidR="001C64C7" w:rsidRDefault="001C64C7" w:rsidP="00625463">
            <w:pPr>
              <w:jc w:val="both"/>
            </w:pPr>
            <w:r>
              <w:sym w:font="Symbol" w:char="F0B7"/>
            </w:r>
            <w:r>
              <w:t xml:space="preserve"> Tossicità della combinazione </w:t>
            </w:r>
            <w:proofErr w:type="spellStart"/>
            <w:r>
              <w:t>Rucaparib-Bevacizumab</w:t>
            </w:r>
            <w:proofErr w:type="spellEnd"/>
            <w:r>
              <w:t xml:space="preserve"> in accordo ai CTCAE vers.5.0. </w:t>
            </w:r>
          </w:p>
          <w:p w14:paraId="52AC627E" w14:textId="77777777" w:rsidR="00CA3BA2" w:rsidRDefault="001C64C7" w:rsidP="00625463">
            <w:pPr>
              <w:jc w:val="both"/>
            </w:pPr>
            <w:r>
              <w:sym w:font="Symbol" w:char="F0B7"/>
            </w:r>
            <w:r>
              <w:t xml:space="preserve"> Farmacocinetica di </w:t>
            </w:r>
            <w:proofErr w:type="spellStart"/>
            <w:r>
              <w:t>Rucaparib-Bevacizumab</w:t>
            </w:r>
            <w:proofErr w:type="spellEnd"/>
          </w:p>
          <w:p w14:paraId="76234516" w14:textId="77777777" w:rsidR="001C64C7" w:rsidRDefault="001C64C7" w:rsidP="00625463">
            <w:pPr>
              <w:jc w:val="both"/>
            </w:pPr>
          </w:p>
          <w:p w14:paraId="0F4E06FA" w14:textId="77777777" w:rsidR="001C64C7" w:rsidRDefault="001C64C7" w:rsidP="00625463">
            <w:pPr>
              <w:jc w:val="both"/>
            </w:pPr>
            <w:r>
              <w:t>Obiettivi secondari</w:t>
            </w:r>
            <w:r>
              <w:t xml:space="preserve"> </w:t>
            </w:r>
            <w:r>
              <w:t>della Fase I</w:t>
            </w:r>
            <w:r>
              <w:t>I</w:t>
            </w:r>
            <w:r>
              <w:t xml:space="preserve">: </w:t>
            </w:r>
          </w:p>
          <w:p w14:paraId="093256C8" w14:textId="77777777" w:rsidR="001C64C7" w:rsidRDefault="001C64C7" w:rsidP="00625463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survival</w:t>
            </w:r>
            <w:proofErr w:type="spellEnd"/>
            <w:r>
              <w:t xml:space="preserve">, definito come periodo dalla data di randomizzazione alla data di morte, in pazienti trattate in accordo allo stato HRD; </w:t>
            </w:r>
          </w:p>
          <w:p w14:paraId="5CD2D85D" w14:textId="77777777" w:rsidR="001C64C7" w:rsidRDefault="001C64C7" w:rsidP="00625463">
            <w:pPr>
              <w:jc w:val="both"/>
            </w:pPr>
            <w:r>
              <w:sym w:font="Symbol" w:char="F0B7"/>
            </w:r>
            <w:r>
              <w:t xml:space="preserve"> Sopravvivenza libera da progressione dopo la prima progressione (PFS2), definita come periodo dalla randomizzazione alla progressione dopo la successiva linea di trattamento o morte, in pazienti trattate in accordo allo stato HRD; </w:t>
            </w:r>
          </w:p>
          <w:p w14:paraId="248ABCD4" w14:textId="77777777" w:rsidR="001C64C7" w:rsidRDefault="001C64C7" w:rsidP="00625463">
            <w:pPr>
              <w:jc w:val="both"/>
            </w:pPr>
            <w:r>
              <w:sym w:font="Symbol" w:char="F0B7"/>
            </w:r>
            <w:r>
              <w:t xml:space="preserve"> Tempo che intercorre da questa linea chemioterapica alla successiva (TFST) definito come periodo che va dalla randomizzazione all’inizio della successiva linea chemioterapica o alla morte, in pazienti trattate in accordo allo stato HRD; </w:t>
            </w:r>
          </w:p>
          <w:p w14:paraId="6FC24BC7" w14:textId="77777777" w:rsidR="001C64C7" w:rsidRDefault="001C64C7" w:rsidP="001C64C7">
            <w:pPr>
              <w:jc w:val="both"/>
            </w:pPr>
            <w:r>
              <w:sym w:font="Symbol" w:char="F0B7"/>
            </w:r>
            <w:r>
              <w:t xml:space="preserve"> Tempo che intercorre tra la fine della prima linea di chemioterapia e la seconda linea dopo la successiva (TSST) relativamente ai tre bracci di trattamento, in pazienti trattate in accordo allo stato HRD; </w:t>
            </w:r>
          </w:p>
          <w:p w14:paraId="732AD8C0" w14:textId="77777777" w:rsidR="001C64C7" w:rsidRDefault="001C64C7" w:rsidP="001C64C7">
            <w:pPr>
              <w:jc w:val="both"/>
            </w:pPr>
            <w:r>
              <w:sym w:font="Symbol" w:char="F0B7"/>
            </w:r>
            <w:r>
              <w:t xml:space="preserve"> </w:t>
            </w:r>
            <w:r>
              <w:t xml:space="preserve">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response</w:t>
            </w:r>
            <w:proofErr w:type="spellEnd"/>
            <w:r>
              <w:t xml:space="preserve"> rate (ORR) definita come la best </w:t>
            </w:r>
            <w:proofErr w:type="spellStart"/>
            <w:r>
              <w:t>response</w:t>
            </w:r>
            <w:proofErr w:type="spellEnd"/>
            <w:r>
              <w:t xml:space="preserve"> di risposta completa (CR) o risposta parziale (PR) utilizzando i criteri RECIST</w:t>
            </w:r>
            <w:r>
              <w:t xml:space="preserve"> versione 1.1 o risposta del CA</w:t>
            </w:r>
            <w:r>
              <w:t xml:space="preserve">125 secondo i criteri GCIG, come valutato dallo sperimentatore nelle pazienti con malattia misurabile all’entrata allo studio. </w:t>
            </w:r>
          </w:p>
          <w:p w14:paraId="6210D2E3" w14:textId="77777777" w:rsidR="001C64C7" w:rsidRDefault="001C64C7" w:rsidP="001C64C7">
            <w:pPr>
              <w:jc w:val="both"/>
            </w:pPr>
            <w:r>
              <w:sym w:font="Symbol" w:char="F0B7"/>
            </w:r>
            <w:r>
              <w:t xml:space="preserve"> Valutare gli eventi avversi e le anomalie di laboratorio in accordo con i CTCAE vers.5.0; </w:t>
            </w:r>
          </w:p>
          <w:p w14:paraId="6C4883FF" w14:textId="1CB993B4" w:rsidR="001C64C7" w:rsidRDefault="001C64C7" w:rsidP="001C64C7">
            <w:pPr>
              <w:jc w:val="both"/>
            </w:pPr>
            <w:r>
              <w:lastRenderedPageBreak/>
              <w:sym w:font="Symbol" w:char="F0B7"/>
            </w:r>
            <w:r>
              <w:t xml:space="preserve"> La qualità di vita delle pazienti ed i sintomi correlati alla malattia saranno valutati mediante la compilazione </w:t>
            </w:r>
            <w:proofErr w:type="spellStart"/>
            <w:r>
              <w:t>diquestionari</w:t>
            </w:r>
            <w:proofErr w:type="spellEnd"/>
            <w:r>
              <w:t xml:space="preserve"> Euro-</w:t>
            </w:r>
            <w:proofErr w:type="spellStart"/>
            <w:r>
              <w:t>Qu</w:t>
            </w:r>
            <w:r>
              <w:t>ality</w:t>
            </w:r>
            <w:proofErr w:type="spellEnd"/>
            <w:r>
              <w:t xml:space="preserve"> of Life 5D (EQ-5D) e NCCN </w:t>
            </w:r>
            <w:r>
              <w:t>FACT- O.</w:t>
            </w:r>
          </w:p>
        </w:tc>
      </w:tr>
      <w:tr w:rsidR="00CA3BA2" w14:paraId="24C6B998" w14:textId="77777777" w:rsidTr="005C7179">
        <w:trPr>
          <w:trHeight w:val="734"/>
        </w:trPr>
        <w:tc>
          <w:tcPr>
            <w:tcW w:w="4714" w:type="dxa"/>
          </w:tcPr>
          <w:p w14:paraId="6099EC7A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Obiettivi esploratori </w:t>
            </w:r>
          </w:p>
        </w:tc>
        <w:tc>
          <w:tcPr>
            <w:tcW w:w="4714" w:type="dxa"/>
          </w:tcPr>
          <w:p w14:paraId="64957E85" w14:textId="77777777" w:rsidR="00622640" w:rsidRDefault="00622640" w:rsidP="00622640">
            <w:pPr>
              <w:jc w:val="both"/>
            </w:pPr>
            <w:r>
              <w:t>- Identificare un test HRD accademico da validare rispetto al test Foundation Medicine LOH</w:t>
            </w:r>
          </w:p>
          <w:p w14:paraId="4225830E" w14:textId="77777777" w:rsidR="00622640" w:rsidRDefault="00622640" w:rsidP="00622640">
            <w:pPr>
              <w:jc w:val="both"/>
            </w:pPr>
            <w:r>
              <w:t xml:space="preserve">- Identificare </w:t>
            </w:r>
            <w:proofErr w:type="spellStart"/>
            <w:r>
              <w:t>biomarcatori</w:t>
            </w:r>
            <w:proofErr w:type="spellEnd"/>
            <w:r>
              <w:t xml:space="preserve"> immunologici predittivi di risposta</w:t>
            </w:r>
            <w:r>
              <w:t xml:space="preserve">. </w:t>
            </w:r>
            <w:r>
              <w:t>Verranno valutate l'espressione di PDL 1 ei linfoci</w:t>
            </w:r>
            <w:r>
              <w:t>ti infiltranti il tumore (TIL)</w:t>
            </w:r>
          </w:p>
          <w:p w14:paraId="44973F65" w14:textId="6F38E08A" w:rsidR="00622640" w:rsidRDefault="00622640" w:rsidP="00622640">
            <w:pPr>
              <w:jc w:val="both"/>
            </w:pPr>
            <w:r>
              <w:t>- determinare:</w:t>
            </w:r>
          </w:p>
          <w:p w14:paraId="2EDB08A6" w14:textId="77777777" w:rsidR="00622640" w:rsidRDefault="00622640" w:rsidP="00622640">
            <w:pPr>
              <w:jc w:val="both"/>
            </w:pPr>
            <w:r>
              <w:t xml:space="preserve">1) </w:t>
            </w:r>
            <w:r>
              <w:t>la frequenza e la dinamica delle mutazioni di reversione</w:t>
            </w:r>
            <w:r>
              <w:t xml:space="preserve"> nei geni coinvolti nell'HRD in </w:t>
            </w:r>
            <w:r>
              <w:t xml:space="preserve">pazienti trattati con </w:t>
            </w:r>
            <w:proofErr w:type="spellStart"/>
            <w:r>
              <w:t>rucaparib</w:t>
            </w:r>
            <w:proofErr w:type="spellEnd"/>
            <w:r>
              <w:t xml:space="preserve"> o </w:t>
            </w:r>
            <w:proofErr w:type="spellStart"/>
            <w:r>
              <w:t>rucaparib</w:t>
            </w:r>
            <w:proofErr w:type="spellEnd"/>
            <w:r>
              <w:t xml:space="preserve"> più </w:t>
            </w:r>
            <w:proofErr w:type="spellStart"/>
            <w:r>
              <w:t>bevacizumab</w:t>
            </w:r>
            <w:proofErr w:type="spellEnd"/>
            <w:r>
              <w:t xml:space="preserve">; </w:t>
            </w:r>
          </w:p>
          <w:p w14:paraId="0C11DFE3" w14:textId="23E78500" w:rsidR="00CA3BA2" w:rsidRDefault="00622640" w:rsidP="00622640">
            <w:pPr>
              <w:jc w:val="both"/>
            </w:pPr>
            <w:r>
              <w:t>2) la correlazione tra l'</w:t>
            </w:r>
            <w:r>
              <w:t xml:space="preserve">occorrenza di queste mutazioni e l'attività di </w:t>
            </w:r>
            <w:proofErr w:type="spellStart"/>
            <w:r>
              <w:t>rucaparib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  <w:tr w:rsidR="00CA3BA2" w14:paraId="7D5FDF9A" w14:textId="77777777" w:rsidTr="005C7179">
        <w:trPr>
          <w:trHeight w:val="734"/>
        </w:trPr>
        <w:tc>
          <w:tcPr>
            <w:tcW w:w="4714" w:type="dxa"/>
          </w:tcPr>
          <w:p w14:paraId="714A0C0E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Criteri di inclusione/esclusione </w:t>
            </w:r>
          </w:p>
        </w:tc>
        <w:tc>
          <w:tcPr>
            <w:tcW w:w="4714" w:type="dxa"/>
          </w:tcPr>
          <w:p w14:paraId="134194FC" w14:textId="77777777" w:rsidR="001C64C7" w:rsidRDefault="001C64C7" w:rsidP="007C23EE">
            <w:pPr>
              <w:jc w:val="both"/>
            </w:pPr>
            <w:r>
              <w:t>Criteri di inclusione:</w:t>
            </w:r>
          </w:p>
          <w:p w14:paraId="6F2D0295" w14:textId="77777777" w:rsidR="001C64C7" w:rsidRDefault="001C64C7" w:rsidP="007C23EE">
            <w:pPr>
              <w:jc w:val="both"/>
            </w:pPr>
            <w:r>
              <w:t xml:space="preserve">1. Donne con età ≥ 18 anni al momento dell’inclusione nello studio; </w:t>
            </w:r>
          </w:p>
          <w:p w14:paraId="3504698F" w14:textId="77777777" w:rsidR="00625463" w:rsidRDefault="001C64C7" w:rsidP="007C23EE">
            <w:pPr>
              <w:jc w:val="both"/>
            </w:pPr>
            <w:r>
              <w:t xml:space="preserve">2. Pazienti a cui sia stato recentemente diagnosticato e confermato istologicamente tumore ovarico epiteliale sieroso ed </w:t>
            </w:r>
            <w:proofErr w:type="spellStart"/>
            <w:r>
              <w:t>endometrioide</w:t>
            </w:r>
            <w:proofErr w:type="spellEnd"/>
            <w:r>
              <w:t xml:space="preserve"> di alto grado, stadio FIGO IIIB-C-IV, primitivo del peritoneo e/o tuba di </w:t>
            </w:r>
            <w:proofErr w:type="spellStart"/>
            <w:r>
              <w:t>Falloppio</w:t>
            </w:r>
            <w:proofErr w:type="spellEnd"/>
            <w:r>
              <w:t>. Le pazienti che presentano istologia mista (</w:t>
            </w:r>
            <w:proofErr w:type="spellStart"/>
            <w:r>
              <w:t>carcinosarcoma</w:t>
            </w:r>
            <w:proofErr w:type="spellEnd"/>
            <w:r>
              <w:t xml:space="preserve">) sono eleggibili se high grade </w:t>
            </w:r>
            <w:proofErr w:type="spellStart"/>
            <w:r>
              <w:t>tumor</w:t>
            </w:r>
            <w:proofErr w:type="spellEnd"/>
            <w:r>
              <w:t xml:space="preserve"> rappresenta più del 50% dell’istologia totale. Pazienti di stadio III devono essere state sottoposte a chirurgia ottimale (</w:t>
            </w:r>
            <w:proofErr w:type="spellStart"/>
            <w:r>
              <w:t>upfront</w:t>
            </w:r>
            <w:proofErr w:type="spellEnd"/>
            <w:r>
              <w:t xml:space="preserve"> o chirurgia d’intervallo). Pazienti di stadio IV devono essere state sottoposte a biopsia e/o chirurgia (</w:t>
            </w:r>
            <w:proofErr w:type="spellStart"/>
            <w:r>
              <w:t>upfront</w:t>
            </w:r>
            <w:proofErr w:type="spellEnd"/>
            <w:r>
              <w:t xml:space="preserve"> o chirurgia d’intervallo);</w:t>
            </w:r>
          </w:p>
          <w:p w14:paraId="7CBA5CF9" w14:textId="77777777" w:rsidR="001C64C7" w:rsidRDefault="001C64C7" w:rsidP="007C23EE">
            <w:pPr>
              <w:jc w:val="both"/>
            </w:pPr>
            <w:r>
              <w:t xml:space="preserve">3. Tessuto tumorale disponibile. A progressione di malattia le pazienti che acconsentono, potranno essere sottoposte ad una nuova biopsia; </w:t>
            </w:r>
          </w:p>
          <w:p w14:paraId="1A86086C" w14:textId="77777777" w:rsidR="001C64C7" w:rsidRDefault="001C64C7" w:rsidP="007C23EE">
            <w:pPr>
              <w:jc w:val="both"/>
            </w:pPr>
            <w:r>
              <w:t xml:space="preserve">4. ECOG Performance Status 0–1; </w:t>
            </w:r>
          </w:p>
          <w:p w14:paraId="003EF84C" w14:textId="77777777" w:rsidR="001C64C7" w:rsidRDefault="001C64C7" w:rsidP="007C23EE">
            <w:pPr>
              <w:jc w:val="both"/>
            </w:pPr>
            <w:r>
              <w:t xml:space="preserve">5. Adeguata funzionalità renale ed epatica, definite come di seguito: - Bilirubina totale sierica ≤ 1.5 ULN istituzionale ad eccezione di presenza della sindrome di Gilbert. In tal caso il valore di bilirubina totale sierica deve essere ≤ 2 x ULN istituzionale; - AST e/o ALT ≤ 2.5 x ULN istituzionale (o ≤ 5 x ULN se sono presenti metastasi epatiche); - Creatinina </w:t>
            </w:r>
            <w:r>
              <w:lastRenderedPageBreak/>
              <w:t xml:space="preserve">sierica ≤ 1.5 x ULN istituzionale (o creatinine clearance calcolata ≥ 45 </w:t>
            </w:r>
            <w:proofErr w:type="spellStart"/>
            <w:r>
              <w:t>mL</w:t>
            </w:r>
            <w:proofErr w:type="spellEnd"/>
            <w:r>
              <w:t>/</w:t>
            </w:r>
            <w:proofErr w:type="spellStart"/>
            <w:r>
              <w:t>min</w:t>
            </w:r>
            <w:proofErr w:type="spellEnd"/>
            <w:r>
              <w:t>/1.73 m</w:t>
            </w:r>
            <w:proofErr w:type="gramStart"/>
            <w:r>
              <w:t>2 )</w:t>
            </w:r>
            <w:proofErr w:type="gramEnd"/>
            <w:r>
              <w:t xml:space="preserve">. </w:t>
            </w:r>
          </w:p>
          <w:p w14:paraId="3DB785AC" w14:textId="77777777" w:rsidR="001C64C7" w:rsidRDefault="001C64C7" w:rsidP="007C23EE">
            <w:pPr>
              <w:jc w:val="both"/>
            </w:pPr>
            <w:r>
              <w:t xml:space="preserve">6. Adeguata funzionalità emopoietica, definita come: - Leucociti totali ≥ 2.5 x 109 /L. - ANC </w:t>
            </w:r>
            <w:r>
              <w:sym w:font="Symbol" w:char="F0B3"/>
            </w:r>
            <w:r>
              <w:t xml:space="preserve"> 1.5 x 109 /L. - Conta piastrinica </w:t>
            </w:r>
            <w:r>
              <w:sym w:font="Symbol" w:char="F0B3"/>
            </w:r>
            <w:r>
              <w:t xml:space="preserve"> 100 x 109 /L. </w:t>
            </w:r>
          </w:p>
          <w:p w14:paraId="627F836C" w14:textId="77777777" w:rsidR="001C64C7" w:rsidRDefault="001C64C7" w:rsidP="007C23EE">
            <w:pPr>
              <w:jc w:val="both"/>
            </w:pPr>
            <w:r>
              <w:t xml:space="preserve">7. Capacità di comprendere e firmare il consenso informato; </w:t>
            </w:r>
          </w:p>
          <w:p w14:paraId="7BA4209D" w14:textId="77777777" w:rsidR="001C64C7" w:rsidRDefault="001C64C7" w:rsidP="007C23EE">
            <w:pPr>
              <w:jc w:val="both"/>
            </w:pPr>
            <w:r>
              <w:t>8. Le donne in età fertile devono risultare negative al test di gravidanza nei 7 giorni precedenti l’arruolamento nello studio.</w:t>
            </w:r>
          </w:p>
          <w:p w14:paraId="014153BD" w14:textId="77777777" w:rsidR="001C64C7" w:rsidRDefault="001C64C7" w:rsidP="007C23EE">
            <w:pPr>
              <w:jc w:val="both"/>
            </w:pPr>
          </w:p>
          <w:p w14:paraId="18697B99" w14:textId="77777777" w:rsidR="001C64C7" w:rsidRDefault="001C64C7" w:rsidP="007C23EE">
            <w:pPr>
              <w:jc w:val="both"/>
            </w:pPr>
            <w:r>
              <w:t>Criteri di esclusione:</w:t>
            </w:r>
          </w:p>
          <w:p w14:paraId="3191BDB9" w14:textId="77777777" w:rsidR="001C64C7" w:rsidRDefault="001C64C7" w:rsidP="007C23EE">
            <w:pPr>
              <w:jc w:val="both"/>
            </w:pPr>
            <w:r>
              <w:t xml:space="preserve">1. Donne in gravidanza o in allattamento; </w:t>
            </w:r>
          </w:p>
          <w:p w14:paraId="065AC11D" w14:textId="77777777" w:rsidR="001C64C7" w:rsidRDefault="001C64C7" w:rsidP="007C23EE">
            <w:pPr>
              <w:jc w:val="both"/>
            </w:pPr>
            <w:r>
              <w:t>2. Presenza di metastasi cerebrali o metastasi del sistema nervoso centrale, non adeguatamente trattate;</w:t>
            </w:r>
          </w:p>
          <w:p w14:paraId="1BDA0B4D" w14:textId="77777777" w:rsidR="001C64C7" w:rsidRDefault="001C64C7" w:rsidP="007C23EE">
            <w:pPr>
              <w:jc w:val="both"/>
            </w:pPr>
            <w:r>
              <w:t xml:space="preserve">3. Precedenti trattamenti chemioterapici; </w:t>
            </w:r>
          </w:p>
          <w:p w14:paraId="1AAA89AD" w14:textId="77777777" w:rsidR="001C64C7" w:rsidRDefault="001C64C7" w:rsidP="007C23EE">
            <w:pPr>
              <w:jc w:val="both"/>
            </w:pPr>
            <w:r>
              <w:t xml:space="preserve">4. Incompleto recupero da qualsiasi procedura chirurgica precedente o chirurgia maggiore nelle 3 settimane precedenti la randomizzazione. </w:t>
            </w:r>
          </w:p>
          <w:p w14:paraId="413F7A96" w14:textId="77777777" w:rsidR="001C64C7" w:rsidRDefault="001C64C7" w:rsidP="007C23EE">
            <w:pPr>
              <w:jc w:val="both"/>
            </w:pPr>
            <w:r>
              <w:t>5. Qualsiasi precedente tumore, ad eccezione: a) Cancro alla pelle non-</w:t>
            </w:r>
            <w:proofErr w:type="spellStart"/>
            <w:r>
              <w:t>melanomico</w:t>
            </w:r>
            <w:proofErr w:type="spellEnd"/>
            <w:r>
              <w:t xml:space="preserve"> precedentemente trattato; b) Tumore al seno adeguatamente trattato da almeno 3 anni, o altri tumori solidi adeguatamente trattati da almeno 5 o più anni, senza evidenze di ricadute; c) Tumore sincrono dell’endometrio endometriale (con l’eccezione di G1/G2 di stadio 1A) </w:t>
            </w:r>
          </w:p>
          <w:p w14:paraId="500E420E" w14:textId="77777777" w:rsidR="001C64C7" w:rsidRDefault="001C64C7" w:rsidP="007C23EE">
            <w:pPr>
              <w:jc w:val="both"/>
            </w:pPr>
            <w:r>
              <w:t xml:space="preserve">6. Nota infezione attiva da HIV, epatite B o C; </w:t>
            </w:r>
          </w:p>
          <w:p w14:paraId="3C7629AE" w14:textId="77777777" w:rsidR="00622640" w:rsidRDefault="001C64C7" w:rsidP="007C23EE">
            <w:pPr>
              <w:jc w:val="both"/>
            </w:pPr>
            <w:r>
              <w:t xml:space="preserve">7. Trattamento concomitante con immunodepressivi o farmaci sperimentali; </w:t>
            </w:r>
          </w:p>
          <w:p w14:paraId="09B16250" w14:textId="77777777" w:rsidR="00622640" w:rsidRDefault="001C64C7" w:rsidP="007C23EE">
            <w:pPr>
              <w:jc w:val="both"/>
            </w:pPr>
            <w:r>
              <w:t xml:space="preserve">8. Storia o evidenza di disordini trombotici o emorragici inclusi episodi cerebrovascolari (CVA), ictus, attacco ischemico transitorio (TIA) o emorragia subaracnoidea nei 6 mesi precedenti al trattamento; </w:t>
            </w:r>
          </w:p>
          <w:p w14:paraId="13A8CB08" w14:textId="77777777" w:rsidR="001C64C7" w:rsidRDefault="001C64C7" w:rsidP="007C23EE">
            <w:pPr>
              <w:jc w:val="both"/>
            </w:pPr>
            <w:r>
              <w:t xml:space="preserve">9. Malattie cardiovascolari attive clinicamente significative tra cui: - Infarto del miocardio o angina instabile nei 6 mesi precedenti il primo trattamento; - New York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(NYHA) di grado II o insufficienza cardiaca congestizia </w:t>
            </w:r>
            <w:r>
              <w:lastRenderedPageBreak/>
              <w:t xml:space="preserve">(CHF); - Aritmia cardiaca grave in terapia (ad eccezione della fibrillazione atriale o tachicardia </w:t>
            </w:r>
            <w:proofErr w:type="spellStart"/>
            <w:r>
              <w:t>sopraventricolare</w:t>
            </w:r>
            <w:proofErr w:type="spellEnd"/>
            <w:r>
              <w:t xml:space="preserve"> parossistica); - Malattie vascolari periferiche ≥ grado 3 (es. sintomatiche e che interferiscono con le attività di</w:t>
            </w:r>
            <w:r w:rsidR="00622640">
              <w:t xml:space="preserve"> </w:t>
            </w:r>
            <w:r w:rsidR="00622640">
              <w:t xml:space="preserve">vita quotidiana che richiedono </w:t>
            </w:r>
            <w:proofErr w:type="spellStart"/>
            <w:r w:rsidR="00622640">
              <w:t>repair</w:t>
            </w:r>
            <w:proofErr w:type="spellEnd"/>
            <w:r w:rsidR="00622640">
              <w:t xml:space="preserve"> or </w:t>
            </w:r>
            <w:proofErr w:type="spellStart"/>
            <w:r w:rsidR="00622640">
              <w:t>revision</w:t>
            </w:r>
            <w:proofErr w:type="spellEnd"/>
            <w:r w:rsidR="00622640">
              <w:t>)</w:t>
            </w:r>
          </w:p>
          <w:p w14:paraId="5F8FF64A" w14:textId="77777777" w:rsidR="00622640" w:rsidRDefault="00622640" w:rsidP="007C23EE">
            <w:pPr>
              <w:jc w:val="both"/>
            </w:pPr>
            <w:r>
              <w:t xml:space="preserve">10. Infezioni attive serie che richiedono trattamento antibiotico </w:t>
            </w:r>
            <w:proofErr w:type="spellStart"/>
            <w:r>
              <w:t>i.v</w:t>
            </w:r>
            <w:proofErr w:type="spellEnd"/>
            <w:r>
              <w:t xml:space="preserve">. al momento dell’arruolamento; </w:t>
            </w:r>
          </w:p>
          <w:p w14:paraId="5DEF808C" w14:textId="77777777" w:rsidR="00622640" w:rsidRDefault="00622640" w:rsidP="007C23EE">
            <w:pPr>
              <w:jc w:val="both"/>
            </w:pPr>
            <w:r>
              <w:t xml:space="preserve">11. Nota ipersensibilità a qualsiasi farmaco o eccipiente previsto dello studio (inclusi </w:t>
            </w:r>
            <w:proofErr w:type="spellStart"/>
            <w:r>
              <w:t>cremophor</w:t>
            </w:r>
            <w:proofErr w:type="spellEnd"/>
            <w:r>
              <w:t xml:space="preserve"> e linee cellulari CHO-</w:t>
            </w: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hamster</w:t>
            </w:r>
            <w:proofErr w:type="spellEnd"/>
            <w:r>
              <w:t xml:space="preserve"> </w:t>
            </w:r>
            <w:proofErr w:type="spellStart"/>
            <w:r>
              <w:t>ovary</w:t>
            </w:r>
            <w:proofErr w:type="spellEnd"/>
            <w:r>
              <w:t xml:space="preserve">); </w:t>
            </w:r>
          </w:p>
          <w:p w14:paraId="0F389FE9" w14:textId="77777777" w:rsidR="00622640" w:rsidRDefault="00622640" w:rsidP="007C23EE">
            <w:pPr>
              <w:jc w:val="both"/>
            </w:pPr>
            <w:r>
              <w:t xml:space="preserve">12. Evidenza di qualsiasi altra condizione medica (come malattie psichiatriche, ulcera epatica, ecc.), esame obiettivo o </w:t>
            </w:r>
            <w:proofErr w:type="spellStart"/>
            <w:r>
              <w:t>tests</w:t>
            </w:r>
            <w:proofErr w:type="spellEnd"/>
            <w:r>
              <w:t xml:space="preserve"> di laboratorio che possano interferire con il trattamento previsto, influenzare la </w:t>
            </w:r>
            <w:proofErr w:type="spellStart"/>
            <w:r>
              <w:t>compliance</w:t>
            </w:r>
            <w:proofErr w:type="spellEnd"/>
            <w:r>
              <w:t xml:space="preserve"> della paziente o mettere la paziente ad alto rischio di complicanze correlate al trattamento; </w:t>
            </w:r>
          </w:p>
          <w:p w14:paraId="6CD808E2" w14:textId="77777777" w:rsidR="00622640" w:rsidRDefault="00622640" w:rsidP="007C23EE">
            <w:pPr>
              <w:jc w:val="both"/>
            </w:pPr>
            <w:r>
              <w:t xml:space="preserve">13. Precedente gastrectomia o rimozione intestinale superiore, oppure qualsiasi altro disturbo o difetto gastrointestinale che potrebbe interferire con l’assorbimento del farmaco in studio; </w:t>
            </w:r>
          </w:p>
          <w:p w14:paraId="497A8C29" w14:textId="0A5B54FC" w:rsidR="00622640" w:rsidRDefault="00622640" w:rsidP="007C23EE">
            <w:pPr>
              <w:jc w:val="both"/>
            </w:pPr>
            <w:r>
              <w:t xml:space="preserve">14. Aver ricevuto la somministrazione di forti inibitori del CYP1A2 o del CYP3A4 nei 7 giorni precedenti alla prima dose di </w:t>
            </w:r>
            <w:proofErr w:type="spellStart"/>
            <w:r>
              <w:t>Rucaparib</w:t>
            </w:r>
            <w:proofErr w:type="spellEnd"/>
            <w:r>
              <w:t xml:space="preserve"> o avere i requisiti correnti per tali farmaci.</w:t>
            </w:r>
          </w:p>
        </w:tc>
      </w:tr>
    </w:tbl>
    <w:p w14:paraId="7A4DB40E" w14:textId="77777777" w:rsidR="00CA3BA2" w:rsidRDefault="00CA3BA2" w:rsidP="005C7179">
      <w:pPr>
        <w:jc w:val="both"/>
      </w:pPr>
    </w:p>
    <w:sectPr w:rsidR="00CA3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7A56"/>
    <w:multiLevelType w:val="hybridMultilevel"/>
    <w:tmpl w:val="EB2A3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A018B"/>
    <w:multiLevelType w:val="hybridMultilevel"/>
    <w:tmpl w:val="A59A8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2"/>
    <w:rsid w:val="00003963"/>
    <w:rsid w:val="001C64C7"/>
    <w:rsid w:val="005C7179"/>
    <w:rsid w:val="00622640"/>
    <w:rsid w:val="00625463"/>
    <w:rsid w:val="007C23EE"/>
    <w:rsid w:val="0085221F"/>
    <w:rsid w:val="00BB7752"/>
    <w:rsid w:val="00CA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780A"/>
  <w15:chartTrackingRefBased/>
  <w15:docId w15:val="{30CF48B6-8BB8-4312-9076-FE4127F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3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di giacomo</dc:creator>
  <cp:keywords/>
  <dc:description/>
  <cp:lastModifiedBy>Serena Giolitto</cp:lastModifiedBy>
  <cp:revision>5</cp:revision>
  <dcterms:created xsi:type="dcterms:W3CDTF">2023-02-15T09:53:00Z</dcterms:created>
  <dcterms:modified xsi:type="dcterms:W3CDTF">2023-02-15T11:12:00Z</dcterms:modified>
</cp:coreProperties>
</file>