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C81A" w14:textId="77777777" w:rsidR="00CA3BA2" w:rsidRPr="00CA3BA2" w:rsidRDefault="00CA3BA2" w:rsidP="00CA3BA2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4"/>
        <w:gridCol w:w="4714"/>
      </w:tblGrid>
      <w:tr w:rsidR="00CA3BA2" w:rsidRPr="00CA3BA2" w14:paraId="3BB5E624" w14:textId="77777777" w:rsidTr="005C7179">
        <w:trPr>
          <w:trHeight w:val="477"/>
        </w:trPr>
        <w:tc>
          <w:tcPr>
            <w:tcW w:w="4714" w:type="dxa"/>
          </w:tcPr>
          <w:p w14:paraId="40E06077" w14:textId="1298407A" w:rsidR="00CA3BA2" w:rsidRPr="00CA3BA2" w:rsidRDefault="00CA3BA2" w:rsidP="005C7179">
            <w:pPr>
              <w:jc w:val="both"/>
            </w:pPr>
            <w:r w:rsidRPr="00CA3BA2">
              <w:t xml:space="preserve"> </w:t>
            </w:r>
            <w:r w:rsidRPr="00CA3BA2">
              <w:rPr>
                <w:b/>
                <w:bCs/>
              </w:rPr>
              <w:t xml:space="preserve">Titolo dello studio </w:t>
            </w:r>
          </w:p>
        </w:tc>
        <w:tc>
          <w:tcPr>
            <w:tcW w:w="4714" w:type="dxa"/>
          </w:tcPr>
          <w:p w14:paraId="7AE198F5" w14:textId="42B4E2D1" w:rsidR="00CA3BA2" w:rsidRPr="00CA3BA2" w:rsidRDefault="00003963" w:rsidP="00625463">
            <w:pPr>
              <w:jc w:val="both"/>
            </w:pPr>
            <w:r>
              <w:t>MITO27: Studio di fase II, prospettico, non randomizzato su MK- 3475 (</w:t>
            </w:r>
            <w:proofErr w:type="spellStart"/>
            <w:r>
              <w:t>Pembrolizumab</w:t>
            </w:r>
            <w:proofErr w:type="spellEnd"/>
            <w:r>
              <w:t xml:space="preserve">) in pazienti con carcinoma ovarico, delle tube di </w:t>
            </w:r>
            <w:proofErr w:type="spellStart"/>
            <w:r>
              <w:t>Falloppio</w:t>
            </w:r>
            <w:proofErr w:type="spellEnd"/>
            <w:r>
              <w:t xml:space="preserve"> e primitivo del peritoneo, ricorrente, platino resistente, con CPS &gt;1</w:t>
            </w:r>
          </w:p>
        </w:tc>
      </w:tr>
      <w:tr w:rsidR="00CA3BA2" w:rsidRPr="00CA3BA2" w14:paraId="15C63AE3" w14:textId="77777777" w:rsidTr="005C7179">
        <w:trPr>
          <w:trHeight w:val="224"/>
        </w:trPr>
        <w:tc>
          <w:tcPr>
            <w:tcW w:w="4714" w:type="dxa"/>
          </w:tcPr>
          <w:p w14:paraId="4C4AC5B9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Versione e data del protocollo </w:t>
            </w:r>
          </w:p>
        </w:tc>
        <w:tc>
          <w:tcPr>
            <w:tcW w:w="4714" w:type="dxa"/>
          </w:tcPr>
          <w:p w14:paraId="6B903175" w14:textId="0D13B607" w:rsidR="00CA3BA2" w:rsidRPr="00CA3BA2" w:rsidRDefault="00003963" w:rsidP="005C7179">
            <w:pPr>
              <w:jc w:val="both"/>
            </w:pPr>
            <w:r>
              <w:t>1.3</w:t>
            </w:r>
            <w:r w:rsidR="0069718C">
              <w:t xml:space="preserve"> del 30/06/2020</w:t>
            </w:r>
            <w:bookmarkStart w:id="0" w:name="_GoBack"/>
            <w:bookmarkEnd w:id="0"/>
          </w:p>
        </w:tc>
      </w:tr>
      <w:tr w:rsidR="00CA3BA2" w:rsidRPr="00CA3BA2" w14:paraId="27BF9170" w14:textId="77777777" w:rsidTr="005C7179">
        <w:trPr>
          <w:trHeight w:val="477"/>
        </w:trPr>
        <w:tc>
          <w:tcPr>
            <w:tcW w:w="4714" w:type="dxa"/>
          </w:tcPr>
          <w:p w14:paraId="70CDC0CC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Pazienti in studio </w:t>
            </w:r>
          </w:p>
        </w:tc>
        <w:tc>
          <w:tcPr>
            <w:tcW w:w="4714" w:type="dxa"/>
          </w:tcPr>
          <w:p w14:paraId="206A4401" w14:textId="2D71646A" w:rsidR="00CA3BA2" w:rsidRPr="00CA3BA2" w:rsidRDefault="00003963" w:rsidP="005C7179">
            <w:pPr>
              <w:jc w:val="both"/>
            </w:pPr>
            <w:r>
              <w:t xml:space="preserve">pazienti con carcinoma ovarico, delle tube di </w:t>
            </w:r>
            <w:proofErr w:type="spellStart"/>
            <w:r>
              <w:t>Falloppio</w:t>
            </w:r>
            <w:proofErr w:type="spellEnd"/>
            <w:r>
              <w:t xml:space="preserve"> e primitivo del peritoneo, ricorrente, platino resistente, con CPS &gt;1</w:t>
            </w:r>
          </w:p>
        </w:tc>
      </w:tr>
      <w:tr w:rsidR="00CA3BA2" w:rsidRPr="00CA3BA2" w14:paraId="5E3F029B" w14:textId="77777777" w:rsidTr="005C7179">
        <w:trPr>
          <w:trHeight w:val="165"/>
        </w:trPr>
        <w:tc>
          <w:tcPr>
            <w:tcW w:w="4714" w:type="dxa"/>
          </w:tcPr>
          <w:p w14:paraId="7B3B3C91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Gruppo di intervento </w:t>
            </w:r>
          </w:p>
        </w:tc>
        <w:tc>
          <w:tcPr>
            <w:tcW w:w="4714" w:type="dxa"/>
          </w:tcPr>
          <w:p w14:paraId="2A8F8070" w14:textId="2E7025AB" w:rsidR="00CA3BA2" w:rsidRPr="00CA3BA2" w:rsidRDefault="0069718C" w:rsidP="005C7179">
            <w:pPr>
              <w:jc w:val="both"/>
            </w:pPr>
            <w:proofErr w:type="spellStart"/>
            <w:r>
              <w:t>Pembrolizumab</w:t>
            </w:r>
            <w:proofErr w:type="spellEnd"/>
            <w:r>
              <w:t xml:space="preserve"> 200 mg d1 q 21 iv</w:t>
            </w:r>
          </w:p>
        </w:tc>
      </w:tr>
      <w:tr w:rsidR="00CA3BA2" w:rsidRPr="00CA3BA2" w14:paraId="4CA9E9DC" w14:textId="77777777" w:rsidTr="005C7179">
        <w:trPr>
          <w:trHeight w:val="165"/>
        </w:trPr>
        <w:tc>
          <w:tcPr>
            <w:tcW w:w="4714" w:type="dxa"/>
          </w:tcPr>
          <w:p w14:paraId="3253DDCF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Gruppo di controllo </w:t>
            </w:r>
          </w:p>
        </w:tc>
        <w:tc>
          <w:tcPr>
            <w:tcW w:w="4714" w:type="dxa"/>
          </w:tcPr>
          <w:p w14:paraId="56711E72" w14:textId="6B9C9082" w:rsidR="00CA3BA2" w:rsidRPr="00CA3BA2" w:rsidRDefault="00003963" w:rsidP="005C7179">
            <w:pPr>
              <w:jc w:val="both"/>
            </w:pPr>
            <w:r>
              <w:t>Controllo storico</w:t>
            </w:r>
          </w:p>
        </w:tc>
      </w:tr>
      <w:tr w:rsidR="00CA3BA2" w:rsidRPr="00CA3BA2" w14:paraId="4839FD74" w14:textId="77777777" w:rsidTr="005C7179">
        <w:trPr>
          <w:trHeight w:val="479"/>
        </w:trPr>
        <w:tc>
          <w:tcPr>
            <w:tcW w:w="4714" w:type="dxa"/>
          </w:tcPr>
          <w:p w14:paraId="2D7D6CB9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Promotore </w:t>
            </w:r>
          </w:p>
        </w:tc>
        <w:tc>
          <w:tcPr>
            <w:tcW w:w="4714" w:type="dxa"/>
          </w:tcPr>
          <w:p w14:paraId="0B2FEA3E" w14:textId="58FB0284" w:rsidR="00CA3BA2" w:rsidRPr="00CA3BA2" w:rsidRDefault="00625463" w:rsidP="005C7179">
            <w:pPr>
              <w:jc w:val="both"/>
            </w:pPr>
            <w:r>
              <w:t>Fondazione Policlinico Universitario Agostino Gemelli IRCCS</w:t>
            </w:r>
          </w:p>
        </w:tc>
      </w:tr>
      <w:tr w:rsidR="00CA3BA2" w:rsidRPr="00CA3BA2" w14:paraId="3B3E0D64" w14:textId="77777777" w:rsidTr="005C7179">
        <w:trPr>
          <w:trHeight w:val="605"/>
        </w:trPr>
        <w:tc>
          <w:tcPr>
            <w:tcW w:w="4714" w:type="dxa"/>
          </w:tcPr>
          <w:p w14:paraId="73BD1611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Centro Coordinatore </w:t>
            </w:r>
          </w:p>
        </w:tc>
        <w:tc>
          <w:tcPr>
            <w:tcW w:w="4714" w:type="dxa"/>
          </w:tcPr>
          <w:p w14:paraId="0407D333" w14:textId="3A8B88BE" w:rsidR="00CA3BA2" w:rsidRPr="00CA3BA2" w:rsidRDefault="00625463" w:rsidP="005C7179">
            <w:pPr>
              <w:jc w:val="both"/>
            </w:pPr>
            <w:r>
              <w:t>Fondazione Policlinico Universitario Agostino Gemelli IRCCS</w:t>
            </w:r>
          </w:p>
        </w:tc>
      </w:tr>
      <w:tr w:rsidR="00CA3BA2" w:rsidRPr="00CA3BA2" w14:paraId="60CC6C5C" w14:textId="77777777" w:rsidTr="005C7179">
        <w:trPr>
          <w:trHeight w:val="272"/>
        </w:trPr>
        <w:tc>
          <w:tcPr>
            <w:tcW w:w="4714" w:type="dxa"/>
          </w:tcPr>
          <w:p w14:paraId="56948234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Clinical Research </w:t>
            </w:r>
          </w:p>
          <w:p w14:paraId="1A53ECAB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Organization (CRO) </w:t>
            </w:r>
          </w:p>
        </w:tc>
        <w:tc>
          <w:tcPr>
            <w:tcW w:w="4714" w:type="dxa"/>
          </w:tcPr>
          <w:p w14:paraId="20AB258E" w14:textId="10076E4D" w:rsidR="00CA3BA2" w:rsidRPr="00CA3BA2" w:rsidRDefault="00625463" w:rsidP="005C7179">
            <w:pPr>
              <w:jc w:val="both"/>
            </w:pPr>
            <w:r>
              <w:t>NA</w:t>
            </w:r>
          </w:p>
        </w:tc>
      </w:tr>
      <w:tr w:rsidR="00CA3BA2" w:rsidRPr="00CA3BA2" w14:paraId="4CF918B9" w14:textId="77777777" w:rsidTr="005C7179">
        <w:trPr>
          <w:trHeight w:val="99"/>
        </w:trPr>
        <w:tc>
          <w:tcPr>
            <w:tcW w:w="4714" w:type="dxa"/>
          </w:tcPr>
          <w:p w14:paraId="1D65F2F8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Centri partecipanti </w:t>
            </w:r>
          </w:p>
        </w:tc>
        <w:tc>
          <w:tcPr>
            <w:tcW w:w="4714" w:type="dxa"/>
          </w:tcPr>
          <w:p w14:paraId="6B26DCFF" w14:textId="17B98EDC" w:rsidR="00CA3BA2" w:rsidRPr="00CA3BA2" w:rsidRDefault="00842AE2" w:rsidP="005C7179">
            <w:pPr>
              <w:jc w:val="both"/>
            </w:pPr>
            <w:r>
              <w:t>11</w:t>
            </w:r>
          </w:p>
        </w:tc>
      </w:tr>
      <w:tr w:rsidR="00CA3BA2" w:rsidRPr="00CA3BA2" w14:paraId="0839966E" w14:textId="77777777" w:rsidTr="005C7179">
        <w:trPr>
          <w:trHeight w:val="99"/>
        </w:trPr>
        <w:tc>
          <w:tcPr>
            <w:tcW w:w="4714" w:type="dxa"/>
          </w:tcPr>
          <w:p w14:paraId="0B36553D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Numero di soggetti </w:t>
            </w:r>
          </w:p>
        </w:tc>
        <w:tc>
          <w:tcPr>
            <w:tcW w:w="4714" w:type="dxa"/>
          </w:tcPr>
          <w:p w14:paraId="3E70CB71" w14:textId="5F4B6BCF" w:rsidR="00CA3BA2" w:rsidRPr="00CA3BA2" w:rsidRDefault="00003963" w:rsidP="0085221F">
            <w:pPr>
              <w:jc w:val="both"/>
            </w:pPr>
            <w:r>
              <w:t>100</w:t>
            </w:r>
          </w:p>
        </w:tc>
      </w:tr>
      <w:tr w:rsidR="00CA3BA2" w:rsidRPr="00CA3BA2" w14:paraId="2237CA64" w14:textId="77777777" w:rsidTr="005C7179">
        <w:trPr>
          <w:trHeight w:val="605"/>
        </w:trPr>
        <w:tc>
          <w:tcPr>
            <w:tcW w:w="4714" w:type="dxa"/>
          </w:tcPr>
          <w:p w14:paraId="244CAE6A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Durata dello studio </w:t>
            </w:r>
          </w:p>
        </w:tc>
        <w:tc>
          <w:tcPr>
            <w:tcW w:w="4714" w:type="dxa"/>
          </w:tcPr>
          <w:p w14:paraId="2CCBD1AE" w14:textId="197E65DF" w:rsidR="00CA3BA2" w:rsidRPr="00CA3BA2" w:rsidRDefault="00842AE2" w:rsidP="005C7179">
            <w:pPr>
              <w:jc w:val="both"/>
            </w:pPr>
            <w:r>
              <w:t>44 mesi</w:t>
            </w:r>
          </w:p>
        </w:tc>
      </w:tr>
      <w:tr w:rsidR="00CA3BA2" w:rsidRPr="00CA3BA2" w14:paraId="47082B7A" w14:textId="77777777" w:rsidTr="005C7179">
        <w:trPr>
          <w:trHeight w:val="99"/>
        </w:trPr>
        <w:tc>
          <w:tcPr>
            <w:tcW w:w="4714" w:type="dxa"/>
          </w:tcPr>
          <w:p w14:paraId="515C316C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Periodo di arruolamento </w:t>
            </w:r>
          </w:p>
        </w:tc>
        <w:tc>
          <w:tcPr>
            <w:tcW w:w="4714" w:type="dxa"/>
          </w:tcPr>
          <w:p w14:paraId="58E0E6EE" w14:textId="669C1ECA" w:rsidR="00CA3BA2" w:rsidRPr="00CA3BA2" w:rsidRDefault="00842AE2" w:rsidP="005C7179">
            <w:pPr>
              <w:jc w:val="both"/>
            </w:pPr>
            <w:r>
              <w:t>24 mesi</w:t>
            </w:r>
          </w:p>
        </w:tc>
      </w:tr>
      <w:tr w:rsidR="00CA3BA2" w:rsidRPr="00CA3BA2" w14:paraId="0D42033D" w14:textId="77777777" w:rsidTr="005C7179">
        <w:trPr>
          <w:trHeight w:val="99"/>
        </w:trPr>
        <w:tc>
          <w:tcPr>
            <w:tcW w:w="4714" w:type="dxa"/>
          </w:tcPr>
          <w:p w14:paraId="1F78BA31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Disegno dello studio </w:t>
            </w:r>
          </w:p>
        </w:tc>
        <w:tc>
          <w:tcPr>
            <w:tcW w:w="4714" w:type="dxa"/>
          </w:tcPr>
          <w:p w14:paraId="758BBF97" w14:textId="7FE61128" w:rsidR="0085221F" w:rsidRPr="00CA3BA2" w:rsidRDefault="007C23EE" w:rsidP="0085221F">
            <w:pPr>
              <w:jc w:val="both"/>
            </w:pPr>
            <w:r>
              <w:t xml:space="preserve">Le pazienti eleggibili riceveranno </w:t>
            </w:r>
            <w:proofErr w:type="spellStart"/>
            <w:r>
              <w:t>Pembrolizumab</w:t>
            </w:r>
            <w:proofErr w:type="spellEnd"/>
            <w:r>
              <w:t xml:space="preserve"> 200 mg d1 q 21 iv, fino a progressione di malattia, tossicità inaccettabile o ritiro del consenso.</w:t>
            </w:r>
          </w:p>
        </w:tc>
      </w:tr>
      <w:tr w:rsidR="00CA3BA2" w:rsidRPr="00CA3BA2" w14:paraId="13B895AA" w14:textId="77777777" w:rsidTr="005C7179">
        <w:trPr>
          <w:trHeight w:val="734"/>
        </w:trPr>
        <w:tc>
          <w:tcPr>
            <w:tcW w:w="4714" w:type="dxa"/>
          </w:tcPr>
          <w:p w14:paraId="3882E68B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Obiettivo primario </w:t>
            </w:r>
          </w:p>
        </w:tc>
        <w:tc>
          <w:tcPr>
            <w:tcW w:w="4714" w:type="dxa"/>
          </w:tcPr>
          <w:p w14:paraId="10D342DB" w14:textId="77690127" w:rsidR="00CA3BA2" w:rsidRPr="00CA3BA2" w:rsidRDefault="00BB7752" w:rsidP="005C7179">
            <w:pPr>
              <w:jc w:val="both"/>
            </w:pPr>
            <w:r>
              <w:t xml:space="preserve">Valutare la sopravvivenza globale (OS) in pazienti trattate con </w:t>
            </w:r>
            <w:proofErr w:type="spellStart"/>
            <w:r>
              <w:t>Pembrolizumab</w:t>
            </w:r>
            <w:proofErr w:type="spellEnd"/>
            <w:r>
              <w:t xml:space="preserve"> singolo agente.</w:t>
            </w:r>
          </w:p>
        </w:tc>
      </w:tr>
      <w:tr w:rsidR="00CA3BA2" w14:paraId="34FCC838" w14:textId="77777777" w:rsidTr="005C7179">
        <w:trPr>
          <w:trHeight w:val="734"/>
        </w:trPr>
        <w:tc>
          <w:tcPr>
            <w:tcW w:w="4714" w:type="dxa"/>
          </w:tcPr>
          <w:p w14:paraId="1EE60827" w14:textId="77777777" w:rsidR="00CA3BA2" w:rsidRPr="00CA3BA2" w:rsidRDefault="00CA3BA2" w:rsidP="005C71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Obiettivi secondari </w:t>
            </w:r>
          </w:p>
        </w:tc>
        <w:tc>
          <w:tcPr>
            <w:tcW w:w="4714" w:type="dxa"/>
          </w:tcPr>
          <w:p w14:paraId="798118C9" w14:textId="77777777" w:rsidR="006E6D43" w:rsidRDefault="006E6D43" w:rsidP="00625463">
            <w:pPr>
              <w:jc w:val="both"/>
            </w:pPr>
            <w:r>
              <w:t xml:space="preserve">• Valutare la sopravvivenza libera da progressione (PFS) </w:t>
            </w:r>
          </w:p>
          <w:p w14:paraId="7CE09DDD" w14:textId="77777777" w:rsidR="006E6D43" w:rsidRDefault="006E6D43" w:rsidP="00625463">
            <w:pPr>
              <w:jc w:val="both"/>
            </w:pPr>
            <w:r>
              <w:t xml:space="preserve">• Valutare il tasso di risposta (criteri RECIST 1.1) </w:t>
            </w:r>
          </w:p>
          <w:p w14:paraId="546271B5" w14:textId="77777777" w:rsidR="006E6D43" w:rsidRDefault="006E6D43" w:rsidP="00625463">
            <w:pPr>
              <w:jc w:val="both"/>
            </w:pPr>
            <w:r>
              <w:t xml:space="preserve">• Valutare la sicurezza e la tollerabilità del trattamento </w:t>
            </w:r>
          </w:p>
          <w:p w14:paraId="6C4883FF" w14:textId="501518BA" w:rsidR="00CA3BA2" w:rsidRDefault="006E6D43" w:rsidP="00625463">
            <w:pPr>
              <w:jc w:val="both"/>
            </w:pPr>
            <w:r>
              <w:t>• Valutare la qualità di vita delle pazienti</w:t>
            </w:r>
          </w:p>
        </w:tc>
      </w:tr>
      <w:tr w:rsidR="00CA3BA2" w14:paraId="24C6B998" w14:textId="77777777" w:rsidTr="005C7179">
        <w:trPr>
          <w:trHeight w:val="734"/>
        </w:trPr>
        <w:tc>
          <w:tcPr>
            <w:tcW w:w="4714" w:type="dxa"/>
          </w:tcPr>
          <w:p w14:paraId="6099EC7A" w14:textId="77777777" w:rsidR="00CA3BA2" w:rsidRPr="00CA3BA2" w:rsidRDefault="00CA3BA2" w:rsidP="005C71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Obiettivi esploratori </w:t>
            </w:r>
          </w:p>
        </w:tc>
        <w:tc>
          <w:tcPr>
            <w:tcW w:w="4714" w:type="dxa"/>
          </w:tcPr>
          <w:p w14:paraId="54E4F99F" w14:textId="77777777" w:rsidR="00842AE2" w:rsidRDefault="00842AE2" w:rsidP="00842AE2">
            <w:pPr>
              <w:pStyle w:val="Paragrafoelenco"/>
              <w:numPr>
                <w:ilvl w:val="0"/>
                <w:numId w:val="3"/>
              </w:numPr>
              <w:ind w:left="156" w:hanging="156"/>
              <w:jc w:val="both"/>
            </w:pPr>
            <w:r>
              <w:t xml:space="preserve">Indagare la relazione tra diversi CPS e risposta al trattamento con </w:t>
            </w:r>
            <w:proofErr w:type="spellStart"/>
            <w:r>
              <w:t>pembrolizumab</w:t>
            </w:r>
            <w:proofErr w:type="spellEnd"/>
            <w:r>
              <w:t xml:space="preserve"> </w:t>
            </w:r>
          </w:p>
          <w:p w14:paraId="0C11DFE3" w14:textId="766A033B" w:rsidR="00CA3BA2" w:rsidRDefault="00842AE2" w:rsidP="00842AE2">
            <w:pPr>
              <w:pStyle w:val="Paragrafoelenco"/>
              <w:numPr>
                <w:ilvl w:val="0"/>
                <w:numId w:val="3"/>
              </w:numPr>
              <w:ind w:left="156" w:hanging="156"/>
              <w:jc w:val="both"/>
            </w:pPr>
            <w:r>
              <w:t xml:space="preserve">Indagare la relazione tra </w:t>
            </w:r>
            <w:r w:rsidR="007E07F9">
              <w:t xml:space="preserve">l’azione delle </w:t>
            </w:r>
            <w:r>
              <w:t xml:space="preserve">cellule di soppressione di derivazione linfoide o mieloide </w:t>
            </w:r>
            <w:r>
              <w:lastRenderedPageBreak/>
              <w:t xml:space="preserve">(MDSC) o cellule T </w:t>
            </w:r>
            <w:proofErr w:type="spellStart"/>
            <w:r>
              <w:t>regolatorie</w:t>
            </w:r>
            <w:proofErr w:type="spellEnd"/>
            <w:r>
              <w:t xml:space="preserve"> (T-</w:t>
            </w:r>
            <w:proofErr w:type="spellStart"/>
            <w:r>
              <w:t>refs</w:t>
            </w:r>
            <w:proofErr w:type="spellEnd"/>
            <w:r>
              <w:t xml:space="preserve">) e risposta al trattamento con </w:t>
            </w:r>
            <w:proofErr w:type="spellStart"/>
            <w:r>
              <w:t>Pembrolizumab</w:t>
            </w:r>
            <w:proofErr w:type="spellEnd"/>
            <w:r>
              <w:t xml:space="preserve"> </w:t>
            </w:r>
          </w:p>
        </w:tc>
      </w:tr>
      <w:tr w:rsidR="00CA3BA2" w14:paraId="7D5FDF9A" w14:textId="77777777" w:rsidTr="005C7179">
        <w:trPr>
          <w:trHeight w:val="734"/>
        </w:trPr>
        <w:tc>
          <w:tcPr>
            <w:tcW w:w="4714" w:type="dxa"/>
          </w:tcPr>
          <w:p w14:paraId="714A0C0E" w14:textId="77777777" w:rsidR="00CA3BA2" w:rsidRPr="00CA3BA2" w:rsidRDefault="00CA3BA2" w:rsidP="005C71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Criteri di inclusione/esclusione </w:t>
            </w:r>
          </w:p>
        </w:tc>
        <w:tc>
          <w:tcPr>
            <w:tcW w:w="4714" w:type="dxa"/>
          </w:tcPr>
          <w:p w14:paraId="32418C6B" w14:textId="7082A6CA" w:rsidR="006E6D43" w:rsidRDefault="006E6D43" w:rsidP="006E6D43">
            <w:pPr>
              <w:jc w:val="both"/>
            </w:pPr>
            <w:r>
              <w:t>Criteri di inclusione:</w:t>
            </w:r>
          </w:p>
          <w:p w14:paraId="24D2AC40" w14:textId="6E118C55" w:rsidR="006E6D43" w:rsidRDefault="006E6D43" w:rsidP="006E6D43">
            <w:pPr>
              <w:jc w:val="both"/>
            </w:pPr>
            <w:r>
              <w:t xml:space="preserve">• Pazienti con tumore ovarico, delle tube di </w:t>
            </w:r>
            <w:proofErr w:type="spellStart"/>
            <w:r>
              <w:t>Falloppio</w:t>
            </w:r>
            <w:proofErr w:type="spellEnd"/>
            <w:r>
              <w:t xml:space="preserve"> o primitivo del peritoneo platino resistenti (PFI ≤ 6 mesi dall’ultima dose di platino); • CPS score &gt;1; </w:t>
            </w:r>
          </w:p>
          <w:p w14:paraId="4126D4D0" w14:textId="77777777" w:rsidR="006E6D43" w:rsidRDefault="006E6D43" w:rsidP="006E6D43">
            <w:pPr>
              <w:jc w:val="both"/>
            </w:pPr>
            <w:r>
              <w:t xml:space="preserve">• Firma del </w:t>
            </w:r>
            <w:proofErr w:type="spellStart"/>
            <w:r>
              <w:t>consensoinformato</w:t>
            </w:r>
            <w:proofErr w:type="spellEnd"/>
            <w:r>
              <w:t xml:space="preserve">; </w:t>
            </w:r>
          </w:p>
          <w:p w14:paraId="09BF06EF" w14:textId="77777777" w:rsidR="006E6D43" w:rsidRDefault="006E6D43" w:rsidP="006E6D43">
            <w:pPr>
              <w:jc w:val="both"/>
            </w:pPr>
            <w:r>
              <w:t xml:space="preserve">• Pazienti con età ≥ 18 anni alla data della firma del consenso informato; </w:t>
            </w:r>
          </w:p>
          <w:p w14:paraId="0079AA5D" w14:textId="77777777" w:rsidR="006E6D43" w:rsidRDefault="006E6D43" w:rsidP="006E6D43">
            <w:pPr>
              <w:jc w:val="both"/>
            </w:pPr>
            <w:r>
              <w:t xml:space="preserve">• Malattia misurabile o valutabile secondo criteri RECIST 1.1 (Pazienti con solo aumento di CA125, senza riscontro radiologico di malattia, sono esclusi); </w:t>
            </w:r>
          </w:p>
          <w:p w14:paraId="5689535A" w14:textId="77777777" w:rsidR="006E6D43" w:rsidRDefault="006E6D43" w:rsidP="006E6D43">
            <w:pPr>
              <w:jc w:val="both"/>
            </w:pPr>
            <w:r>
              <w:t xml:space="preserve">• Fornire un campione di tessuto tumorale prelevato mediante precedente chirurgia </w:t>
            </w:r>
            <w:proofErr w:type="spellStart"/>
            <w:r>
              <w:t>citoriduttiva</w:t>
            </w:r>
            <w:proofErr w:type="spellEnd"/>
            <w:r>
              <w:t xml:space="preserve"> o di tessuto tumorale appena prelevato (entro 6 settimane dall’inizio della terapia). Pazienti per le quali non possano essere forniti campioni appena ottenuti, è accettabile un campione d’archivio; </w:t>
            </w:r>
          </w:p>
          <w:p w14:paraId="6D4F8BEB" w14:textId="77777777" w:rsidR="006E6D43" w:rsidRDefault="006E6D43" w:rsidP="006E6D43">
            <w:pPr>
              <w:jc w:val="both"/>
            </w:pPr>
            <w:r>
              <w:t xml:space="preserve">• ECOG performance status 0 o 1; </w:t>
            </w:r>
          </w:p>
          <w:p w14:paraId="06AF87B2" w14:textId="77777777" w:rsidR="00625463" w:rsidRDefault="006E6D43" w:rsidP="007C23EE">
            <w:pPr>
              <w:jc w:val="both"/>
            </w:pPr>
            <w:r>
              <w:t>• Adeguate funzionalità d’organo.</w:t>
            </w:r>
          </w:p>
          <w:p w14:paraId="5F4A3F30" w14:textId="77777777" w:rsidR="006E6D43" w:rsidRDefault="006E6D43" w:rsidP="007C23EE">
            <w:pPr>
              <w:jc w:val="both"/>
            </w:pPr>
          </w:p>
          <w:p w14:paraId="62EBC145" w14:textId="77777777" w:rsidR="006E6D43" w:rsidRDefault="006E6D43" w:rsidP="007C23EE">
            <w:pPr>
              <w:jc w:val="both"/>
            </w:pPr>
            <w:r>
              <w:t>Criteri di esclusione:</w:t>
            </w:r>
          </w:p>
          <w:p w14:paraId="0CB3E19A" w14:textId="77777777" w:rsidR="006E6D43" w:rsidRDefault="006E6D43" w:rsidP="007C23EE">
            <w:pPr>
              <w:jc w:val="both"/>
            </w:pPr>
            <w:r>
              <w:t xml:space="preserve">• Sta attualmente partecipando o ha partecipato ad uno studio clinico e ha ricevuto un agente sperimentale o utilizzato un dispositivo sperimentale entro le 4 settimane precedenti la prima dose del trattamento dello studio; </w:t>
            </w:r>
          </w:p>
          <w:p w14:paraId="6ACE429D" w14:textId="77777777" w:rsidR="006E6D43" w:rsidRDefault="006E6D43" w:rsidP="007C23EE">
            <w:pPr>
              <w:jc w:val="both"/>
            </w:pPr>
            <w:r>
              <w:t xml:space="preserve">• Ha ricevuto più di 2 precedenti linee di chemioterapia; </w:t>
            </w:r>
          </w:p>
          <w:p w14:paraId="4078FC4B" w14:textId="77777777" w:rsidR="006E6D43" w:rsidRDefault="006E6D43" w:rsidP="007C23EE">
            <w:pPr>
              <w:jc w:val="both"/>
            </w:pPr>
            <w:r>
              <w:t xml:space="preserve">• Presenta una diagnosi di immunodeficienza o sta assumendo una terapia con steroidi sistemici o altra forma di terapia immunosoppressiva nei 7 giorni precedenti la prima dose del trattamento sperimentale; </w:t>
            </w:r>
          </w:p>
          <w:p w14:paraId="78A692CB" w14:textId="77777777" w:rsidR="006E6D43" w:rsidRDefault="006E6D43" w:rsidP="007C23EE">
            <w:pPr>
              <w:jc w:val="both"/>
            </w:pPr>
            <w:r>
              <w:t>• Storia nota di TB attiva (</w:t>
            </w:r>
            <w:proofErr w:type="spellStart"/>
            <w:r>
              <w:t>Bacillus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); </w:t>
            </w:r>
          </w:p>
          <w:p w14:paraId="0E887BBC" w14:textId="77777777" w:rsidR="006E6D43" w:rsidRDefault="006E6D43" w:rsidP="007C23EE">
            <w:pPr>
              <w:jc w:val="both"/>
            </w:pPr>
            <w:r>
              <w:t xml:space="preserve">• Ipersensibilità nota a </w:t>
            </w:r>
            <w:proofErr w:type="spellStart"/>
            <w:r>
              <w:t>Pembrolizumab</w:t>
            </w:r>
            <w:proofErr w:type="spellEnd"/>
            <w:r>
              <w:t xml:space="preserve"> o a qualsiasi suo eccipiente; </w:t>
            </w:r>
          </w:p>
          <w:p w14:paraId="1BED1ED5" w14:textId="77777777" w:rsidR="006E6D43" w:rsidRDefault="006E6D43" w:rsidP="007C23EE">
            <w:pPr>
              <w:jc w:val="both"/>
            </w:pPr>
            <w:r>
              <w:lastRenderedPageBreak/>
              <w:t>• Precedente trattamento con anticorpo monoclonale anti-cancro (</w:t>
            </w:r>
            <w:proofErr w:type="spellStart"/>
            <w:r>
              <w:t>monoclonal</w:t>
            </w:r>
            <w:proofErr w:type="spellEnd"/>
            <w:r>
              <w:t xml:space="preserve"> </w:t>
            </w:r>
            <w:proofErr w:type="spellStart"/>
            <w:r>
              <w:t>antibody</w:t>
            </w:r>
            <w:proofErr w:type="spellEnd"/>
            <w:r>
              <w:t xml:space="preserve">, </w:t>
            </w:r>
            <w:proofErr w:type="spellStart"/>
            <w:r>
              <w:t>mAb</w:t>
            </w:r>
            <w:proofErr w:type="spellEnd"/>
            <w:r>
              <w:t xml:space="preserve">) nelle 4 settimane precedenti il Giorno 1 dello studio o non recupero a tossicità grado ≤ 1 o al </w:t>
            </w:r>
            <w:proofErr w:type="spellStart"/>
            <w:r>
              <w:t>basaline</w:t>
            </w:r>
            <w:proofErr w:type="spellEnd"/>
            <w:r>
              <w:t xml:space="preserve">, da eventi avversi dovuti a </w:t>
            </w:r>
            <w:proofErr w:type="spellStart"/>
            <w:r>
              <w:t>mAb</w:t>
            </w:r>
            <w:proofErr w:type="spellEnd"/>
            <w:r>
              <w:t xml:space="preserve"> somministrati più di 4 settimane prima.</w:t>
            </w:r>
          </w:p>
          <w:p w14:paraId="123A0D9D" w14:textId="77777777" w:rsidR="006E6D43" w:rsidRDefault="006E6D43" w:rsidP="007C23EE">
            <w:pPr>
              <w:jc w:val="both"/>
            </w:pPr>
            <w:r>
              <w:t xml:space="preserve">• Si è sottoposto a chemioterapia, terapia mirata con piccole molecole oppure a radioterapia nelle 2 settimane precedenti il Giorno 1 dello studio o non recupero a tossicità grado ≤ 1 o al </w:t>
            </w:r>
            <w:proofErr w:type="spellStart"/>
            <w:r>
              <w:t>basaline</w:t>
            </w:r>
            <w:proofErr w:type="spellEnd"/>
            <w:r>
              <w:t xml:space="preserve">, da eventi avversi dovuti a un agente somministrato in precedenza. Nota: i soggetti con neuropatia di grado ≤ 2 costituiscono un’eccezione a questo criterio e possono essere idonei per lo studio. Nota: se il soggetto ha subito un intervento chirurgico importante, deve essersi ripreso adeguatamente dalla tossicità e/o complicanze dell’intervento prima di iniziare la terapia; </w:t>
            </w:r>
          </w:p>
          <w:p w14:paraId="38997D2A" w14:textId="77777777" w:rsidR="006E6D43" w:rsidRDefault="006E6D43" w:rsidP="007C23EE">
            <w:pPr>
              <w:jc w:val="both"/>
            </w:pPr>
            <w:r>
              <w:t xml:space="preserve">• Presenta un altro tumore maligno noto in progressione o che richiede un trattamento attivo nei precedenti 2 anni. Le eccezioni comprendono carcinoma </w:t>
            </w:r>
            <w:proofErr w:type="spellStart"/>
            <w:r>
              <w:t>basocellulare</w:t>
            </w:r>
            <w:proofErr w:type="spellEnd"/>
            <w:r>
              <w:t xml:space="preserve"> della cute, carcinoma a cellule squamose della cute sottoposto a terapia potenzialmente curativa o carcinoma della cervice in situ; </w:t>
            </w:r>
          </w:p>
          <w:p w14:paraId="4C43D2C8" w14:textId="77777777" w:rsidR="006E6D43" w:rsidRDefault="006E6D43" w:rsidP="007C23EE">
            <w:pPr>
              <w:jc w:val="both"/>
            </w:pPr>
            <w:r>
              <w:t>• Presenza di metastasi attive al sistema nervoso centrale (SNC) note e/o meningite carcinomatosa. I soggetti con metastasi cerebrali già trattate in precedenza possono partecipare purché siano stabili (senza evidenza di progressione all’</w:t>
            </w:r>
            <w:proofErr w:type="spellStart"/>
            <w:r>
              <w:t>imaging</w:t>
            </w:r>
            <w:proofErr w:type="spellEnd"/>
            <w:r>
              <w:t xml:space="preserve"> da almeno quattro settimane prima della prima dose del trattamento sperimentale e purché qualsiasi sintomo neurologico sia tornato al valore basale), non abbiano evidenze di metastasi cerebrali nuove o in progressione e non assumano steroidi da almeno 7 giorni prima del trattamento sperimentale. Questa eccezione non comprende la meningite carcinomatosa che è esclusa a prescindere dalla stabilità clinica.</w:t>
            </w:r>
          </w:p>
          <w:p w14:paraId="0A9F18D4" w14:textId="77777777" w:rsidR="006E6D43" w:rsidRDefault="006E6D43" w:rsidP="006E6D43">
            <w:pPr>
              <w:jc w:val="both"/>
            </w:pPr>
            <w:r>
              <w:t xml:space="preserve">• Presenta una malattia autoimmune attiva che ha necessitato di trattamento sistemico nei 2 anni precedenti con uso di corticosteroidi o farmaci immunosoppressivi. La terapia sostitutiva (ad es. Tiroxina, insulina o terapia sostitutiva del corticosteroide per insufficienza surrenalica o </w:t>
            </w:r>
            <w:r>
              <w:lastRenderedPageBreak/>
              <w:t xml:space="preserve">pituitaria) non è considerata una forma di trattamento sistemico; </w:t>
            </w:r>
          </w:p>
          <w:p w14:paraId="4A2327A4" w14:textId="77777777" w:rsidR="006E6D43" w:rsidRDefault="006E6D43" w:rsidP="006E6D43">
            <w:pPr>
              <w:jc w:val="both"/>
            </w:pPr>
            <w:r>
              <w:t xml:space="preserve">• Storia, o qualsiasi prova effettiva di polmonite attiva, non infettiva che ha richiesto il trattamento con steroidi; </w:t>
            </w:r>
          </w:p>
          <w:p w14:paraId="47A9F9A8" w14:textId="77777777" w:rsidR="006E6D43" w:rsidRDefault="006E6D43" w:rsidP="006E6D43">
            <w:pPr>
              <w:jc w:val="both"/>
            </w:pPr>
            <w:r>
              <w:t xml:space="preserve">• Presenta un’infezione attiva che richiede terapia sistemica </w:t>
            </w:r>
          </w:p>
          <w:p w14:paraId="2493928A" w14:textId="77777777" w:rsidR="006E6D43" w:rsidRDefault="006E6D43" w:rsidP="006E6D43">
            <w:pPr>
              <w:jc w:val="both"/>
            </w:pPr>
            <w:r>
              <w:t xml:space="preserve">• Presenta un’anamnesi o prova ricorrente di qualsiasi condizione, terapia o anomalia nelle analisi di laboratorio che potrebbe inficiare i risultati della sperimentazione, interferire con la partecipazione del soggetto per tutta la durata della sperimentazione oppure non rendere nel miglior interesse del soggetto parteciparvi, a giudizio dello sperimentatore; </w:t>
            </w:r>
          </w:p>
          <w:p w14:paraId="073D4436" w14:textId="77777777" w:rsidR="006E6D43" w:rsidRDefault="006E6D43" w:rsidP="006E6D43">
            <w:pPr>
              <w:jc w:val="both"/>
            </w:pPr>
            <w:r>
              <w:t xml:space="preserve">• Presenta disturbi psichiatrici o di abuso di sostanze noti che interferirebbero con l’adempimento degli obblighi posti dalla sperimentazione; </w:t>
            </w:r>
          </w:p>
          <w:p w14:paraId="30EB8C6A" w14:textId="77777777" w:rsidR="006E6D43" w:rsidRDefault="006E6D43" w:rsidP="006E6D43">
            <w:pPr>
              <w:jc w:val="both"/>
            </w:pPr>
            <w:r>
              <w:t xml:space="preserve">• La paziente in età fertile deve avere un test di gravidanza su urine o siero negativo entro 72 ore prima di ricevere la prima dose di farmaco in studio. Se il test sulle urine è positivo o non può essere confermato come negativo, sarà richiesto un test di gravidanza nel siero; </w:t>
            </w:r>
          </w:p>
          <w:p w14:paraId="796C5AC5" w14:textId="77777777" w:rsidR="006E6D43" w:rsidRDefault="006E6D43" w:rsidP="006E6D43">
            <w:pPr>
              <w:jc w:val="both"/>
            </w:pPr>
            <w:r>
              <w:t xml:space="preserve">• Le donne in età fertile dovrebbero essere disposte ad usare 2 metodi contraccettivi o astenersi dall'attività sessuale per tutta la durata dello studio e fino a 120 giorni dopo l'ultima dose del farmaco in studio. Le pazienti in età fertile sono le pazienti non chirurgicamente sterili o </w:t>
            </w:r>
            <w:proofErr w:type="spellStart"/>
            <w:r>
              <w:t>amenorreiche</w:t>
            </w:r>
            <w:proofErr w:type="spellEnd"/>
            <w:r>
              <w:t xml:space="preserve"> per&gt; 1 anno; </w:t>
            </w:r>
          </w:p>
          <w:p w14:paraId="4529E384" w14:textId="77777777" w:rsidR="006E6D43" w:rsidRDefault="006E6D43" w:rsidP="006E6D43">
            <w:pPr>
              <w:jc w:val="both"/>
            </w:pPr>
            <w:r>
              <w:t xml:space="preserve">• La paziente non deve allattare durante il trattamento e per i 12° giorni successivi al trattamento; </w:t>
            </w:r>
          </w:p>
          <w:p w14:paraId="68C5DF3B" w14:textId="77777777" w:rsidR="006E6D43" w:rsidRDefault="006E6D43" w:rsidP="006E6D43">
            <w:pPr>
              <w:jc w:val="both"/>
            </w:pPr>
            <w:r>
              <w:t xml:space="preserve">• Ha assunto precedentemente una terapia con un farmaco antiPD-1, anti-PD-L1 o anti-PD-L2; </w:t>
            </w:r>
          </w:p>
          <w:p w14:paraId="67CA0A3C" w14:textId="77777777" w:rsidR="006E6D43" w:rsidRDefault="006E6D43" w:rsidP="006E6D43">
            <w:pPr>
              <w:jc w:val="both"/>
            </w:pPr>
            <w:r>
              <w:t xml:space="preserve">• Presenta un’anamnesi nota di virus dell’immunodeficienza umana (Human </w:t>
            </w:r>
            <w:proofErr w:type="spellStart"/>
            <w:r>
              <w:t>Immunodeficiency</w:t>
            </w:r>
            <w:proofErr w:type="spellEnd"/>
            <w:r>
              <w:t xml:space="preserve"> Virus, HIV) (anticorpi HIV 1/2). </w:t>
            </w:r>
          </w:p>
          <w:p w14:paraId="4D41710B" w14:textId="77777777" w:rsidR="006E6D43" w:rsidRDefault="006E6D43" w:rsidP="006E6D43">
            <w:pPr>
              <w:jc w:val="both"/>
            </w:pPr>
            <w:r>
              <w:t xml:space="preserve">• Presenta un’epatite B attiva nota (ad es. è </w:t>
            </w:r>
            <w:proofErr w:type="spellStart"/>
            <w:r>
              <w:t>HBsAg</w:t>
            </w:r>
            <w:proofErr w:type="spellEnd"/>
            <w:r>
              <w:t xml:space="preserve"> reattivo) o epatite C (ad es. individuazione [qualitativa] dell’HCV RNA); </w:t>
            </w:r>
          </w:p>
          <w:p w14:paraId="497A8C29" w14:textId="4B37A7CA" w:rsidR="006E6D43" w:rsidRDefault="006E6D43" w:rsidP="006E6D43">
            <w:pPr>
              <w:jc w:val="both"/>
            </w:pPr>
            <w:r>
              <w:lastRenderedPageBreak/>
              <w:t>• Ha ricevuto un vaccino vivo nei 30 giorni che precedono l’inizio programmato della terapia dello studio. Nota: i vaccini per l’influenza stagionale somministrati per iniezione in genere sono vaccini antinfluenzali inattivati e sono ammessi; tuttavia, i vaccini anti</w:t>
            </w:r>
            <w:r w:rsidR="00842AE2">
              <w:t xml:space="preserve">nfluenzali </w:t>
            </w:r>
            <w:proofErr w:type="spellStart"/>
            <w:r w:rsidR="00842AE2">
              <w:t>intranasali</w:t>
            </w:r>
            <w:proofErr w:type="spellEnd"/>
            <w:r w:rsidR="00842AE2">
              <w:t xml:space="preserve"> (es. </w:t>
            </w:r>
            <w:proofErr w:type="spellStart"/>
            <w:r w:rsidR="00842AE2">
              <w:t>Flu-</w:t>
            </w:r>
            <w:r>
              <w:t>Mist</w:t>
            </w:r>
            <w:proofErr w:type="spellEnd"/>
            <w:r>
              <w:t>®) sono vaccini vivi attenuati e non sono consentiti.</w:t>
            </w:r>
          </w:p>
        </w:tc>
      </w:tr>
    </w:tbl>
    <w:p w14:paraId="7A4DB40E" w14:textId="77777777" w:rsidR="00CA3BA2" w:rsidRDefault="00CA3BA2" w:rsidP="005C7179">
      <w:pPr>
        <w:jc w:val="both"/>
      </w:pPr>
    </w:p>
    <w:sectPr w:rsidR="00CA3B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7A56"/>
    <w:multiLevelType w:val="hybridMultilevel"/>
    <w:tmpl w:val="EB2A3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D152C"/>
    <w:multiLevelType w:val="hybridMultilevel"/>
    <w:tmpl w:val="FEEAE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A018B"/>
    <w:multiLevelType w:val="hybridMultilevel"/>
    <w:tmpl w:val="A59A81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A2"/>
    <w:rsid w:val="00003963"/>
    <w:rsid w:val="005C7179"/>
    <w:rsid w:val="00625463"/>
    <w:rsid w:val="0069718C"/>
    <w:rsid w:val="006E6D43"/>
    <w:rsid w:val="007C23EE"/>
    <w:rsid w:val="007E07F9"/>
    <w:rsid w:val="00842AE2"/>
    <w:rsid w:val="0085221F"/>
    <w:rsid w:val="00BB7752"/>
    <w:rsid w:val="00CA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780A"/>
  <w15:chartTrackingRefBased/>
  <w15:docId w15:val="{30CF48B6-8BB8-4312-9076-FE4127FB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3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2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di giacomo</dc:creator>
  <cp:keywords/>
  <dc:description/>
  <cp:lastModifiedBy>Serena Giolitto</cp:lastModifiedBy>
  <cp:revision>3</cp:revision>
  <dcterms:created xsi:type="dcterms:W3CDTF">2023-02-15T10:42:00Z</dcterms:created>
  <dcterms:modified xsi:type="dcterms:W3CDTF">2023-02-15T10:58:00Z</dcterms:modified>
</cp:coreProperties>
</file>