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3C81A" w14:textId="77777777" w:rsidR="00CA3BA2" w:rsidRPr="00CA3BA2" w:rsidRDefault="00CA3BA2" w:rsidP="00CA3BA2"/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2"/>
        <w:gridCol w:w="6146"/>
      </w:tblGrid>
      <w:tr w:rsidR="00CA3BA2" w:rsidRPr="00CA3BA2" w14:paraId="3BB5E624" w14:textId="77777777" w:rsidTr="00302BD6">
        <w:trPr>
          <w:trHeight w:val="477"/>
        </w:trPr>
        <w:tc>
          <w:tcPr>
            <w:tcW w:w="3282" w:type="dxa"/>
          </w:tcPr>
          <w:p w14:paraId="40E06077" w14:textId="1298407A" w:rsidR="00CA3BA2" w:rsidRPr="00CA3BA2" w:rsidRDefault="00CA3BA2" w:rsidP="005C7179">
            <w:pPr>
              <w:jc w:val="both"/>
            </w:pPr>
            <w:r w:rsidRPr="00CA3BA2">
              <w:t xml:space="preserve"> </w:t>
            </w:r>
            <w:r w:rsidRPr="00CA3BA2">
              <w:rPr>
                <w:b/>
                <w:bCs/>
              </w:rPr>
              <w:t xml:space="preserve">Titolo dello studio </w:t>
            </w:r>
          </w:p>
        </w:tc>
        <w:tc>
          <w:tcPr>
            <w:tcW w:w="6146" w:type="dxa"/>
          </w:tcPr>
          <w:p w14:paraId="7AE198F5" w14:textId="4EEEAE31" w:rsidR="00CA3BA2" w:rsidRPr="00CA3BA2" w:rsidRDefault="009C55ED" w:rsidP="00625463">
            <w:pPr>
              <w:jc w:val="both"/>
            </w:pPr>
            <w:r w:rsidRPr="00C80BF3">
              <w:rPr>
                <w:rFonts w:ascii="Calibri" w:hAnsi="Calibri" w:cs="Calibri"/>
                <w:szCs w:val="24"/>
              </w:rPr>
              <w:t xml:space="preserve">Studio randomizzato di fase III su </w:t>
            </w:r>
            <w:proofErr w:type="spellStart"/>
            <w:r w:rsidRPr="00C80BF3">
              <w:rPr>
                <w:rFonts w:ascii="Calibri" w:hAnsi="Calibri" w:cs="Calibri"/>
                <w:szCs w:val="24"/>
              </w:rPr>
              <w:t>N</w:t>
            </w:r>
            <w:r>
              <w:rPr>
                <w:rFonts w:ascii="Calibri" w:hAnsi="Calibri" w:cs="Calibri"/>
                <w:szCs w:val="24"/>
              </w:rPr>
              <w:t>I</w:t>
            </w:r>
            <w:r w:rsidRPr="00C80BF3">
              <w:rPr>
                <w:rFonts w:ascii="Calibri" w:hAnsi="Calibri" w:cs="Calibri"/>
                <w:szCs w:val="24"/>
              </w:rPr>
              <w:t>raparib-</w:t>
            </w:r>
            <w:r>
              <w:rPr>
                <w:rFonts w:ascii="Calibri" w:hAnsi="Calibri" w:cs="Calibri"/>
                <w:szCs w:val="24"/>
              </w:rPr>
              <w:t>dostarlimab</w:t>
            </w:r>
            <w:proofErr w:type="spellEnd"/>
            <w:r>
              <w:rPr>
                <w:rFonts w:ascii="Calibri" w:hAnsi="Calibri" w:cs="Calibri"/>
                <w:szCs w:val="24"/>
              </w:rPr>
              <w:t xml:space="preserve"> </w:t>
            </w:r>
            <w:r w:rsidRPr="00C80BF3">
              <w:rPr>
                <w:rFonts w:ascii="Calibri" w:hAnsi="Calibri" w:cs="Calibri"/>
                <w:szCs w:val="24"/>
              </w:rPr>
              <w:t xml:space="preserve">vs </w:t>
            </w:r>
            <w:proofErr w:type="spellStart"/>
            <w:r>
              <w:rPr>
                <w:rFonts w:ascii="Calibri" w:hAnsi="Calibri" w:cs="Calibri"/>
                <w:szCs w:val="24"/>
              </w:rPr>
              <w:t>CHE</w:t>
            </w:r>
            <w:r w:rsidRPr="00C80BF3">
              <w:rPr>
                <w:rFonts w:ascii="Calibri" w:hAnsi="Calibri" w:cs="Calibri"/>
                <w:szCs w:val="24"/>
              </w:rPr>
              <w:t>mioterapia</w:t>
            </w:r>
            <w:proofErr w:type="spellEnd"/>
            <w:r w:rsidRPr="00C80BF3">
              <w:rPr>
                <w:rFonts w:ascii="Calibri" w:hAnsi="Calibri" w:cs="Calibri"/>
                <w:szCs w:val="24"/>
              </w:rPr>
              <w:t xml:space="preserve"> a scelta del medico</w:t>
            </w:r>
            <w:r>
              <w:rPr>
                <w:rFonts w:ascii="Calibri" w:hAnsi="Calibri" w:cs="Calibri"/>
                <w:szCs w:val="24"/>
              </w:rPr>
              <w:t>,</w:t>
            </w:r>
            <w:r w:rsidRPr="00C80BF3">
              <w:rPr>
                <w:rFonts w:ascii="Calibri" w:hAnsi="Calibri" w:cs="Calibri"/>
                <w:szCs w:val="24"/>
              </w:rPr>
              <w:t xml:space="preserve"> in pazienti </w:t>
            </w:r>
            <w:r>
              <w:rPr>
                <w:rFonts w:ascii="Calibri" w:hAnsi="Calibri" w:cs="Calibri"/>
                <w:szCs w:val="24"/>
              </w:rPr>
              <w:t>con tumore ricorrente ovarico</w:t>
            </w:r>
            <w:r w:rsidRPr="00C80BF3">
              <w:rPr>
                <w:rFonts w:ascii="Calibri" w:hAnsi="Calibri" w:cs="Calibri"/>
                <w:szCs w:val="24"/>
              </w:rPr>
              <w:t>,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C80BF3">
              <w:rPr>
                <w:rFonts w:ascii="Calibri" w:hAnsi="Calibri" w:cs="Calibri"/>
                <w:szCs w:val="24"/>
              </w:rPr>
              <w:t xml:space="preserve">delle tube di </w:t>
            </w:r>
            <w:proofErr w:type="spellStart"/>
            <w:r w:rsidRPr="00C80BF3">
              <w:rPr>
                <w:rFonts w:ascii="Calibri" w:hAnsi="Calibri" w:cs="Calibri"/>
                <w:szCs w:val="24"/>
              </w:rPr>
              <w:t>Falloppio</w:t>
            </w:r>
            <w:proofErr w:type="spellEnd"/>
            <w:r w:rsidRPr="00C80BF3">
              <w:rPr>
                <w:rFonts w:ascii="Calibri" w:hAnsi="Calibri" w:cs="Calibri"/>
                <w:szCs w:val="24"/>
              </w:rPr>
              <w:t xml:space="preserve"> o </w:t>
            </w:r>
            <w:r>
              <w:rPr>
                <w:rFonts w:ascii="Calibri" w:hAnsi="Calibri" w:cs="Calibri"/>
                <w:szCs w:val="24"/>
              </w:rPr>
              <w:t xml:space="preserve">primitivo del peritoneo, </w:t>
            </w:r>
            <w:r w:rsidRPr="00C80BF3">
              <w:rPr>
                <w:rFonts w:ascii="Calibri" w:hAnsi="Calibri" w:cs="Calibri"/>
                <w:szCs w:val="24"/>
              </w:rPr>
              <w:t>non candida</w:t>
            </w:r>
            <w:r>
              <w:rPr>
                <w:rFonts w:ascii="Calibri" w:hAnsi="Calibri" w:cs="Calibri"/>
                <w:szCs w:val="24"/>
              </w:rPr>
              <w:t>bili</w:t>
            </w:r>
            <w:r w:rsidRPr="00C80BF3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 xml:space="preserve">ad un trattamento a base di platino: studio </w:t>
            </w:r>
            <w:proofErr w:type="spellStart"/>
            <w:r>
              <w:rPr>
                <w:rFonts w:ascii="Calibri" w:hAnsi="Calibri" w:cs="Calibri"/>
                <w:szCs w:val="24"/>
              </w:rPr>
              <w:t>NItCHE</w:t>
            </w:r>
            <w:proofErr w:type="spellEnd"/>
            <w:r>
              <w:rPr>
                <w:rFonts w:ascii="Calibri" w:hAnsi="Calibri" w:cs="Calibri"/>
                <w:szCs w:val="24"/>
              </w:rPr>
              <w:t xml:space="preserve"> (MITO 33)</w:t>
            </w:r>
          </w:p>
        </w:tc>
      </w:tr>
      <w:tr w:rsidR="00CA3BA2" w:rsidRPr="00CA3BA2" w14:paraId="15C63AE3" w14:textId="77777777" w:rsidTr="00302BD6">
        <w:trPr>
          <w:trHeight w:val="224"/>
        </w:trPr>
        <w:tc>
          <w:tcPr>
            <w:tcW w:w="3282" w:type="dxa"/>
          </w:tcPr>
          <w:p w14:paraId="4C4AC5B9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Versione e data del protocollo </w:t>
            </w:r>
          </w:p>
        </w:tc>
        <w:tc>
          <w:tcPr>
            <w:tcW w:w="6146" w:type="dxa"/>
          </w:tcPr>
          <w:p w14:paraId="6B903175" w14:textId="1AB961A6" w:rsidR="00CA3BA2" w:rsidRPr="00CA3BA2" w:rsidRDefault="009C55ED" w:rsidP="009C55ED">
            <w:pPr>
              <w:jc w:val="both"/>
            </w:pPr>
            <w:r>
              <w:t>2.1 del 05/05/2022</w:t>
            </w:r>
          </w:p>
        </w:tc>
      </w:tr>
      <w:tr w:rsidR="00CA3BA2" w:rsidRPr="00CA3BA2" w14:paraId="27BF9170" w14:textId="77777777" w:rsidTr="00302BD6">
        <w:trPr>
          <w:trHeight w:val="477"/>
        </w:trPr>
        <w:tc>
          <w:tcPr>
            <w:tcW w:w="3282" w:type="dxa"/>
          </w:tcPr>
          <w:p w14:paraId="70CDC0CC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Pazienti in studio </w:t>
            </w:r>
          </w:p>
        </w:tc>
        <w:tc>
          <w:tcPr>
            <w:tcW w:w="6146" w:type="dxa"/>
          </w:tcPr>
          <w:p w14:paraId="206A4401" w14:textId="460A23D7" w:rsidR="00CA3BA2" w:rsidRPr="00CA3BA2" w:rsidRDefault="009C55ED" w:rsidP="005C7179">
            <w:pPr>
              <w:jc w:val="both"/>
            </w:pPr>
            <w:r w:rsidRPr="00C80BF3">
              <w:rPr>
                <w:rFonts w:ascii="Calibri" w:hAnsi="Calibri" w:cs="Calibri"/>
                <w:szCs w:val="24"/>
              </w:rPr>
              <w:t xml:space="preserve">pazienti </w:t>
            </w:r>
            <w:r>
              <w:rPr>
                <w:rFonts w:ascii="Calibri" w:hAnsi="Calibri" w:cs="Calibri"/>
                <w:szCs w:val="24"/>
              </w:rPr>
              <w:t>con tumore ricorrente ovarico</w:t>
            </w:r>
            <w:r w:rsidRPr="00C80BF3">
              <w:rPr>
                <w:rFonts w:ascii="Calibri" w:hAnsi="Calibri" w:cs="Calibri"/>
                <w:szCs w:val="24"/>
              </w:rPr>
              <w:t>,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C80BF3">
              <w:rPr>
                <w:rFonts w:ascii="Calibri" w:hAnsi="Calibri" w:cs="Calibri"/>
                <w:szCs w:val="24"/>
              </w:rPr>
              <w:t xml:space="preserve">delle tube di </w:t>
            </w:r>
            <w:proofErr w:type="spellStart"/>
            <w:r w:rsidRPr="00C80BF3">
              <w:rPr>
                <w:rFonts w:ascii="Calibri" w:hAnsi="Calibri" w:cs="Calibri"/>
                <w:szCs w:val="24"/>
              </w:rPr>
              <w:t>Falloppio</w:t>
            </w:r>
            <w:proofErr w:type="spellEnd"/>
            <w:r w:rsidRPr="00C80BF3">
              <w:rPr>
                <w:rFonts w:ascii="Calibri" w:hAnsi="Calibri" w:cs="Calibri"/>
                <w:szCs w:val="24"/>
              </w:rPr>
              <w:t xml:space="preserve"> o </w:t>
            </w:r>
            <w:r>
              <w:rPr>
                <w:rFonts w:ascii="Calibri" w:hAnsi="Calibri" w:cs="Calibri"/>
                <w:szCs w:val="24"/>
              </w:rPr>
              <w:t xml:space="preserve">primitivo del peritoneo, </w:t>
            </w:r>
            <w:r w:rsidRPr="00C80BF3">
              <w:rPr>
                <w:rFonts w:ascii="Calibri" w:hAnsi="Calibri" w:cs="Calibri"/>
                <w:szCs w:val="24"/>
              </w:rPr>
              <w:t>non candida</w:t>
            </w:r>
            <w:r>
              <w:rPr>
                <w:rFonts w:ascii="Calibri" w:hAnsi="Calibri" w:cs="Calibri"/>
                <w:szCs w:val="24"/>
              </w:rPr>
              <w:t>bili</w:t>
            </w:r>
            <w:r w:rsidRPr="00C80BF3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ad un trattamento a base di platino</w:t>
            </w:r>
          </w:p>
        </w:tc>
      </w:tr>
      <w:tr w:rsidR="00CA3BA2" w:rsidRPr="00CA3BA2" w14:paraId="5E3F029B" w14:textId="77777777" w:rsidTr="00302BD6">
        <w:trPr>
          <w:trHeight w:val="165"/>
        </w:trPr>
        <w:tc>
          <w:tcPr>
            <w:tcW w:w="3282" w:type="dxa"/>
          </w:tcPr>
          <w:p w14:paraId="7B3B3C91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Gruppo di intervento </w:t>
            </w:r>
          </w:p>
        </w:tc>
        <w:tc>
          <w:tcPr>
            <w:tcW w:w="6146" w:type="dxa"/>
          </w:tcPr>
          <w:p w14:paraId="2A8F8070" w14:textId="59DB9E5F" w:rsidR="00CA3BA2" w:rsidRPr="00CA3BA2" w:rsidRDefault="009C55ED" w:rsidP="005C7179">
            <w:pPr>
              <w:jc w:val="both"/>
            </w:pPr>
            <w:proofErr w:type="spellStart"/>
            <w:r>
              <w:t>Niraparib</w:t>
            </w:r>
            <w:proofErr w:type="spellEnd"/>
            <w:r>
              <w:t xml:space="preserve"> + </w:t>
            </w:r>
            <w:proofErr w:type="spellStart"/>
            <w:r>
              <w:t>Dostarlimab</w:t>
            </w:r>
            <w:proofErr w:type="spellEnd"/>
          </w:p>
        </w:tc>
      </w:tr>
      <w:tr w:rsidR="00CA3BA2" w:rsidRPr="00CA3BA2" w14:paraId="4CA9E9DC" w14:textId="77777777" w:rsidTr="00302BD6">
        <w:trPr>
          <w:trHeight w:val="165"/>
        </w:trPr>
        <w:tc>
          <w:tcPr>
            <w:tcW w:w="3282" w:type="dxa"/>
          </w:tcPr>
          <w:p w14:paraId="3253DDCF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Gruppo di controllo </w:t>
            </w:r>
          </w:p>
        </w:tc>
        <w:tc>
          <w:tcPr>
            <w:tcW w:w="6146" w:type="dxa"/>
          </w:tcPr>
          <w:p w14:paraId="47D7B4DD" w14:textId="77777777" w:rsidR="009C55ED" w:rsidRPr="001C2F36" w:rsidRDefault="009C55ED" w:rsidP="009C55ED">
            <w:pPr>
              <w:spacing w:line="36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Chemioterapia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scelta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dallo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Sperimentatore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tra</w:t>
            </w:r>
            <w:proofErr w:type="spellEnd"/>
            <w:r w:rsidRPr="001C2F36">
              <w:rPr>
                <w:rFonts w:ascii="Calibri" w:hAnsi="Calibri" w:cs="Calibri"/>
                <w:lang w:val="en-US"/>
              </w:rPr>
              <w:t>:</w:t>
            </w:r>
          </w:p>
          <w:p w14:paraId="39424BA4" w14:textId="77777777" w:rsidR="009C55ED" w:rsidRPr="001C2F36" w:rsidRDefault="009C55ED" w:rsidP="009C55E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Doxorubicina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Liposomiale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Pegylata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1C2F36">
              <w:rPr>
                <w:rFonts w:ascii="Calibri" w:hAnsi="Calibri" w:cs="Calibri"/>
                <w:lang w:val="en-US"/>
              </w:rPr>
              <w:t>40 mg/</w:t>
            </w:r>
            <w:proofErr w:type="spellStart"/>
            <w:r w:rsidRPr="001C2F36">
              <w:rPr>
                <w:rFonts w:ascii="Calibri" w:hAnsi="Calibri" w:cs="Calibri"/>
                <w:lang w:val="en-US"/>
              </w:rPr>
              <w:t>mq</w:t>
            </w:r>
            <w:proofErr w:type="spellEnd"/>
            <w:r w:rsidRPr="001C2F36">
              <w:rPr>
                <w:rFonts w:ascii="Calibri" w:hAnsi="Calibri" w:cs="Calibri"/>
                <w:lang w:val="en-US"/>
              </w:rPr>
              <w:t xml:space="preserve"> iv q 28</w:t>
            </w:r>
          </w:p>
          <w:p w14:paraId="3F5CA5C0" w14:textId="77777777" w:rsidR="009C55ED" w:rsidRPr="001C2F36" w:rsidRDefault="009C55ED" w:rsidP="009C55E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r w:rsidRPr="001C2F36">
              <w:rPr>
                <w:rFonts w:ascii="Calibri" w:hAnsi="Calibri" w:cs="Calibri"/>
                <w:lang w:val="en-US"/>
              </w:rPr>
              <w:t xml:space="preserve">Paclitaxel </w:t>
            </w:r>
            <w:proofErr w:type="spellStart"/>
            <w:r>
              <w:rPr>
                <w:rFonts w:ascii="Calibri" w:hAnsi="Calibri" w:cs="Calibri"/>
                <w:lang w:val="en-US"/>
              </w:rPr>
              <w:t>settimanale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1C2F36">
              <w:rPr>
                <w:rFonts w:ascii="Calibri" w:hAnsi="Calibri" w:cs="Calibri"/>
                <w:lang w:val="en-US"/>
              </w:rPr>
              <w:t>80 mg/</w:t>
            </w:r>
            <w:proofErr w:type="spellStart"/>
            <w:r w:rsidRPr="001C2F36">
              <w:rPr>
                <w:rFonts w:ascii="Calibri" w:hAnsi="Calibri" w:cs="Calibri"/>
                <w:lang w:val="en-US"/>
              </w:rPr>
              <w:t>mq</w:t>
            </w:r>
            <w:proofErr w:type="spellEnd"/>
            <w:r w:rsidRPr="001C2F36">
              <w:rPr>
                <w:rFonts w:ascii="Calibri" w:hAnsi="Calibri" w:cs="Calibri"/>
                <w:lang w:val="en-US"/>
              </w:rPr>
              <w:t xml:space="preserve"> d 1,8,15 q 28</w:t>
            </w:r>
          </w:p>
          <w:p w14:paraId="604F820D" w14:textId="77777777" w:rsidR="009C55ED" w:rsidRPr="001C2F36" w:rsidRDefault="009C55ED" w:rsidP="009C55E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1C2F36">
              <w:rPr>
                <w:rFonts w:ascii="Calibri" w:hAnsi="Calibri" w:cs="Calibri"/>
                <w:lang w:val="en-US"/>
              </w:rPr>
              <w:t>Gemcitabin</w:t>
            </w:r>
            <w:r>
              <w:rPr>
                <w:rFonts w:ascii="Calibri" w:hAnsi="Calibri" w:cs="Calibri"/>
                <w:lang w:val="en-US"/>
              </w:rPr>
              <w:t>a</w:t>
            </w:r>
            <w:proofErr w:type="spellEnd"/>
            <w:r w:rsidRPr="001C2F36">
              <w:rPr>
                <w:rFonts w:ascii="Calibri" w:hAnsi="Calibri" w:cs="Calibri"/>
                <w:lang w:val="en-US"/>
              </w:rPr>
              <w:t xml:space="preserve"> 1000 mg/</w:t>
            </w:r>
            <w:proofErr w:type="spellStart"/>
            <w:r w:rsidRPr="001C2F36">
              <w:rPr>
                <w:rFonts w:ascii="Calibri" w:hAnsi="Calibri" w:cs="Calibri"/>
                <w:lang w:val="en-US"/>
              </w:rPr>
              <w:t>mq</w:t>
            </w:r>
            <w:proofErr w:type="spellEnd"/>
            <w:r w:rsidRPr="001C2F36">
              <w:rPr>
                <w:rFonts w:ascii="Calibri" w:hAnsi="Calibri" w:cs="Calibri"/>
                <w:lang w:val="en-US"/>
              </w:rPr>
              <w:t xml:space="preserve"> d 1,8,15 q 28 </w:t>
            </w:r>
          </w:p>
          <w:p w14:paraId="653D1B9D" w14:textId="77777777" w:rsidR="009C55ED" w:rsidRDefault="009C55ED" w:rsidP="009C55E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1C2F36">
              <w:rPr>
                <w:rFonts w:ascii="Calibri" w:hAnsi="Calibri" w:cs="Calibri"/>
                <w:lang w:val="en-US"/>
              </w:rPr>
              <w:t>Topotecan</w:t>
            </w:r>
            <w:proofErr w:type="spellEnd"/>
            <w:r w:rsidRPr="001C2F36">
              <w:rPr>
                <w:rFonts w:ascii="Calibri" w:hAnsi="Calibri" w:cs="Calibri"/>
                <w:lang w:val="en-US"/>
              </w:rPr>
              <w:t xml:space="preserve"> 1.25 mg/</w:t>
            </w:r>
            <w:proofErr w:type="spellStart"/>
            <w:r w:rsidRPr="001C2F36">
              <w:rPr>
                <w:rFonts w:ascii="Calibri" w:hAnsi="Calibri" w:cs="Calibri"/>
                <w:lang w:val="en-US"/>
              </w:rPr>
              <w:t>mq</w:t>
            </w:r>
            <w:proofErr w:type="spellEnd"/>
            <w:r w:rsidRPr="001C2F36">
              <w:rPr>
                <w:rFonts w:ascii="Calibri" w:hAnsi="Calibri" w:cs="Calibri"/>
                <w:lang w:val="en-US"/>
              </w:rPr>
              <w:t xml:space="preserve"> d 1-5 q 21</w:t>
            </w:r>
          </w:p>
          <w:p w14:paraId="56711E72" w14:textId="74594FA4" w:rsidR="00CA3BA2" w:rsidRPr="00CA3BA2" w:rsidRDefault="009C55ED" w:rsidP="009C55ED">
            <w:pPr>
              <w:jc w:val="both"/>
            </w:pPr>
            <w:r>
              <w:rPr>
                <w:rFonts w:ascii="Calibri" w:hAnsi="Calibri" w:cs="Calibri"/>
                <w:lang w:val="en-US"/>
              </w:rPr>
              <w:t xml:space="preserve">+/- Bevacizumab </w:t>
            </w:r>
            <w:proofErr w:type="spellStart"/>
            <w:r>
              <w:rPr>
                <w:rFonts w:ascii="Calibri" w:hAnsi="Calibri" w:cs="Calibri"/>
                <w:lang w:val="en-US"/>
              </w:rPr>
              <w:t>alla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schedula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definita</w:t>
            </w:r>
            <w:proofErr w:type="spellEnd"/>
          </w:p>
        </w:tc>
      </w:tr>
      <w:tr w:rsidR="00CA3BA2" w:rsidRPr="00CA3BA2" w14:paraId="4839FD74" w14:textId="77777777" w:rsidTr="00302BD6">
        <w:trPr>
          <w:trHeight w:val="479"/>
        </w:trPr>
        <w:tc>
          <w:tcPr>
            <w:tcW w:w="3282" w:type="dxa"/>
          </w:tcPr>
          <w:p w14:paraId="2D7D6CB9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Promotore </w:t>
            </w:r>
          </w:p>
        </w:tc>
        <w:tc>
          <w:tcPr>
            <w:tcW w:w="6146" w:type="dxa"/>
          </w:tcPr>
          <w:p w14:paraId="0B2FEA3E" w14:textId="58FB0284" w:rsidR="00CA3BA2" w:rsidRPr="00CA3BA2" w:rsidRDefault="00625463" w:rsidP="005C7179">
            <w:pPr>
              <w:jc w:val="both"/>
            </w:pPr>
            <w:r>
              <w:t>Fondazione Policlinico Universitario Agostino Gemelli IRCCS</w:t>
            </w:r>
          </w:p>
        </w:tc>
      </w:tr>
      <w:tr w:rsidR="00CA3BA2" w:rsidRPr="00CA3BA2" w14:paraId="3B3E0D64" w14:textId="77777777" w:rsidTr="00302BD6">
        <w:trPr>
          <w:trHeight w:val="605"/>
        </w:trPr>
        <w:tc>
          <w:tcPr>
            <w:tcW w:w="3282" w:type="dxa"/>
          </w:tcPr>
          <w:p w14:paraId="73BD1611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Centro Coordinatore </w:t>
            </w:r>
          </w:p>
        </w:tc>
        <w:tc>
          <w:tcPr>
            <w:tcW w:w="6146" w:type="dxa"/>
          </w:tcPr>
          <w:p w14:paraId="0407D333" w14:textId="3A8B88BE" w:rsidR="00CA3BA2" w:rsidRPr="00CA3BA2" w:rsidRDefault="00625463" w:rsidP="005C7179">
            <w:pPr>
              <w:jc w:val="both"/>
            </w:pPr>
            <w:r>
              <w:t>Fondazione Policlinico Universitario Agostino Gemelli IRCCS</w:t>
            </w:r>
          </w:p>
        </w:tc>
      </w:tr>
      <w:tr w:rsidR="00CA3BA2" w:rsidRPr="00CA3BA2" w14:paraId="60CC6C5C" w14:textId="77777777" w:rsidTr="00302BD6">
        <w:trPr>
          <w:trHeight w:val="272"/>
        </w:trPr>
        <w:tc>
          <w:tcPr>
            <w:tcW w:w="3282" w:type="dxa"/>
          </w:tcPr>
          <w:p w14:paraId="56948234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Clinical Research </w:t>
            </w:r>
          </w:p>
          <w:p w14:paraId="1A53ECAB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Organization (CRO) </w:t>
            </w:r>
          </w:p>
        </w:tc>
        <w:tc>
          <w:tcPr>
            <w:tcW w:w="6146" w:type="dxa"/>
          </w:tcPr>
          <w:p w14:paraId="20AB258E" w14:textId="1ACA181A" w:rsidR="00CA3BA2" w:rsidRPr="00CA3BA2" w:rsidRDefault="009C55ED" w:rsidP="005C7179">
            <w:pPr>
              <w:jc w:val="both"/>
            </w:pPr>
            <w:r>
              <w:t xml:space="preserve">3B Biotech Research </w:t>
            </w:r>
          </w:p>
        </w:tc>
      </w:tr>
      <w:tr w:rsidR="00CA3BA2" w:rsidRPr="00CA3BA2" w14:paraId="4CF918B9" w14:textId="77777777" w:rsidTr="00302BD6">
        <w:trPr>
          <w:trHeight w:val="99"/>
        </w:trPr>
        <w:tc>
          <w:tcPr>
            <w:tcW w:w="3282" w:type="dxa"/>
          </w:tcPr>
          <w:p w14:paraId="1D65F2F8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Centri partecipanti </w:t>
            </w:r>
          </w:p>
        </w:tc>
        <w:tc>
          <w:tcPr>
            <w:tcW w:w="6146" w:type="dxa"/>
          </w:tcPr>
          <w:p w14:paraId="6B26DCFF" w14:textId="019B0EBB" w:rsidR="00CA3BA2" w:rsidRPr="00CA3BA2" w:rsidRDefault="00302BD6" w:rsidP="005C7179">
            <w:pPr>
              <w:jc w:val="both"/>
            </w:pPr>
            <w:r>
              <w:t>32</w:t>
            </w:r>
          </w:p>
        </w:tc>
      </w:tr>
      <w:tr w:rsidR="00CA3BA2" w:rsidRPr="00CA3BA2" w14:paraId="0839966E" w14:textId="77777777" w:rsidTr="00302BD6">
        <w:trPr>
          <w:trHeight w:val="99"/>
        </w:trPr>
        <w:tc>
          <w:tcPr>
            <w:tcW w:w="3282" w:type="dxa"/>
          </w:tcPr>
          <w:p w14:paraId="0B36553D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Numero di soggetti </w:t>
            </w:r>
          </w:p>
        </w:tc>
        <w:tc>
          <w:tcPr>
            <w:tcW w:w="6146" w:type="dxa"/>
          </w:tcPr>
          <w:p w14:paraId="3E70CB71" w14:textId="425953D6" w:rsidR="00CA3BA2" w:rsidRPr="00CA3BA2" w:rsidRDefault="009C55ED" w:rsidP="0085221F">
            <w:pPr>
              <w:jc w:val="both"/>
            </w:pPr>
            <w:r>
              <w:t>427</w:t>
            </w:r>
          </w:p>
        </w:tc>
      </w:tr>
      <w:tr w:rsidR="00CA3BA2" w:rsidRPr="00CA3BA2" w14:paraId="2237CA64" w14:textId="77777777" w:rsidTr="00302BD6">
        <w:trPr>
          <w:trHeight w:val="605"/>
        </w:trPr>
        <w:tc>
          <w:tcPr>
            <w:tcW w:w="3282" w:type="dxa"/>
          </w:tcPr>
          <w:p w14:paraId="244CAE6A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Durata dello studio </w:t>
            </w:r>
          </w:p>
        </w:tc>
        <w:tc>
          <w:tcPr>
            <w:tcW w:w="6146" w:type="dxa"/>
          </w:tcPr>
          <w:p w14:paraId="2CCBD1AE" w14:textId="734887C0" w:rsidR="00CA3BA2" w:rsidRPr="00CA3BA2" w:rsidRDefault="00302BD6" w:rsidP="00302BD6">
            <w:pPr>
              <w:jc w:val="both"/>
            </w:pPr>
            <w:r>
              <w:rPr>
                <w:rFonts w:ascii="Calibri" w:hAnsi="Calibri" w:cs="Calibri"/>
                <w:lang w:eastAsia="ja-JP"/>
              </w:rPr>
              <w:t>La durata totale dello studio è approssimativamente di 4 anni</w:t>
            </w:r>
          </w:p>
        </w:tc>
      </w:tr>
      <w:tr w:rsidR="00CA3BA2" w:rsidRPr="00CA3BA2" w14:paraId="47082B7A" w14:textId="77777777" w:rsidTr="00302BD6">
        <w:trPr>
          <w:trHeight w:val="99"/>
        </w:trPr>
        <w:tc>
          <w:tcPr>
            <w:tcW w:w="3282" w:type="dxa"/>
          </w:tcPr>
          <w:p w14:paraId="515C316C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Periodo di arruolamento </w:t>
            </w:r>
          </w:p>
        </w:tc>
        <w:tc>
          <w:tcPr>
            <w:tcW w:w="6146" w:type="dxa"/>
          </w:tcPr>
          <w:p w14:paraId="58E0E6EE" w14:textId="21D640D1" w:rsidR="00CA3BA2" w:rsidRPr="00CA3BA2" w:rsidRDefault="00302BD6" w:rsidP="005C7179">
            <w:pPr>
              <w:jc w:val="both"/>
            </w:pPr>
            <w:r>
              <w:t>2.5 anni</w:t>
            </w:r>
          </w:p>
        </w:tc>
      </w:tr>
      <w:tr w:rsidR="00CA3BA2" w:rsidRPr="00CA3BA2" w14:paraId="0D42033D" w14:textId="77777777" w:rsidTr="00302BD6">
        <w:trPr>
          <w:trHeight w:val="99"/>
        </w:trPr>
        <w:tc>
          <w:tcPr>
            <w:tcW w:w="3282" w:type="dxa"/>
          </w:tcPr>
          <w:p w14:paraId="1F78BA31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t xml:space="preserve">Disegno dello studio </w:t>
            </w:r>
          </w:p>
        </w:tc>
        <w:tc>
          <w:tcPr>
            <w:tcW w:w="6146" w:type="dxa"/>
          </w:tcPr>
          <w:p w14:paraId="3A2006A4" w14:textId="5115F661" w:rsidR="009C55ED" w:rsidRDefault="009C55ED" w:rsidP="009C55ED">
            <w:pPr>
              <w:autoSpaceDE w:val="0"/>
              <w:autoSpaceDN w:val="0"/>
              <w:adjustRightInd w:val="0"/>
              <w:spacing w:line="360" w:lineRule="auto"/>
              <w:ind w:right="11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Studio </w:t>
            </w:r>
            <w:proofErr w:type="spellStart"/>
            <w:r>
              <w:rPr>
                <w:rFonts w:ascii="Calibri" w:hAnsi="Calibri" w:cs="Calibri"/>
                <w:lang w:val="en-US"/>
              </w:rPr>
              <w:t>randomizzato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lang w:val="en-US"/>
              </w:rPr>
              <w:t>fase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III </w:t>
            </w:r>
            <w:proofErr w:type="spellStart"/>
            <w:r>
              <w:rPr>
                <w:rFonts w:ascii="Calibri" w:hAnsi="Calibri" w:cs="Calibri"/>
                <w:lang w:val="en-US"/>
              </w:rPr>
              <w:t>che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valuta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lang w:val="en-US"/>
              </w:rPr>
              <w:t>combinazione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di</w:t>
            </w:r>
            <w:r w:rsidRPr="00ED1717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ED1717">
              <w:rPr>
                <w:rFonts w:ascii="Calibri" w:hAnsi="Calibri" w:cs="Calibri"/>
                <w:lang w:val="en-US"/>
              </w:rPr>
              <w:t>Niraparib</w:t>
            </w:r>
            <w:proofErr w:type="spellEnd"/>
            <w:r w:rsidRPr="00ED1717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e</w:t>
            </w:r>
            <w:r w:rsidRPr="00ED1717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Dostarlimab</w:t>
            </w:r>
            <w:proofErr w:type="spellEnd"/>
            <w:r w:rsidRPr="00ED1717">
              <w:rPr>
                <w:rFonts w:ascii="Calibri" w:hAnsi="Calibri" w:cs="Calibri"/>
                <w:lang w:val="en-US"/>
              </w:rPr>
              <w:t xml:space="preserve"> vs </w:t>
            </w:r>
            <w:r>
              <w:rPr>
                <w:rFonts w:ascii="Calibri" w:hAnsi="Calibri" w:cs="Calibri"/>
                <w:lang w:val="en-US"/>
              </w:rPr>
              <w:t xml:space="preserve">un </w:t>
            </w:r>
            <w:proofErr w:type="spellStart"/>
            <w:r>
              <w:rPr>
                <w:rFonts w:ascii="Calibri" w:hAnsi="Calibri" w:cs="Calibri"/>
                <w:lang w:val="en-US"/>
              </w:rPr>
              <w:t>trattamento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chemioterapico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lang w:val="en-US"/>
              </w:rPr>
              <w:t>scelta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dello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sperimentatore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val="en-US"/>
              </w:rPr>
              <w:t>nel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trattamento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lang w:val="en-US"/>
              </w:rPr>
              <w:t>tumore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ricorrente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ovarico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val="en-US"/>
              </w:rPr>
              <w:t>delle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tube di </w:t>
            </w:r>
            <w:proofErr w:type="spellStart"/>
            <w:r>
              <w:rPr>
                <w:rFonts w:ascii="Calibri" w:hAnsi="Calibri" w:cs="Calibri"/>
                <w:lang w:val="en-US"/>
              </w:rPr>
              <w:t>falloppio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lang w:val="en-US"/>
              </w:rPr>
              <w:t>primitivo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lang w:val="en-US"/>
              </w:rPr>
              <w:t>peritoneo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, in </w:t>
            </w:r>
            <w:proofErr w:type="spellStart"/>
            <w:r>
              <w:rPr>
                <w:rFonts w:ascii="Calibri" w:hAnsi="Calibri" w:cs="Calibri"/>
                <w:lang w:val="en-US"/>
              </w:rPr>
              <w:t>pazienti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per cui la </w:t>
            </w:r>
            <w:proofErr w:type="spellStart"/>
            <w:r>
              <w:rPr>
                <w:rFonts w:ascii="Calibri" w:hAnsi="Calibri" w:cs="Calibri"/>
                <w:lang w:val="en-US"/>
              </w:rPr>
              <w:t>chemioterapia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a base di </w:t>
            </w:r>
            <w:proofErr w:type="spellStart"/>
            <w:r>
              <w:rPr>
                <w:rFonts w:ascii="Calibri" w:hAnsi="Calibri" w:cs="Calibri"/>
                <w:lang w:val="en-US"/>
              </w:rPr>
              <w:t>platino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non </w:t>
            </w:r>
            <w:proofErr w:type="spellStart"/>
            <w:r>
              <w:rPr>
                <w:rFonts w:ascii="Calibri" w:hAnsi="Calibri" w:cs="Calibri"/>
                <w:lang w:val="en-US"/>
              </w:rPr>
              <w:t>rappresenti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un’opzione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, secondo </w:t>
            </w:r>
            <w:proofErr w:type="spellStart"/>
            <w:r>
              <w:rPr>
                <w:rFonts w:ascii="Calibri" w:hAnsi="Calibri" w:cs="Calibri"/>
                <w:lang w:val="en-US"/>
              </w:rPr>
              <w:t>il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seguente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schema:</w:t>
            </w:r>
          </w:p>
          <w:p w14:paraId="758BBF97" w14:textId="37F37B74" w:rsidR="009C55ED" w:rsidRPr="009C55ED" w:rsidRDefault="009C55ED" w:rsidP="009C55ED">
            <w:pPr>
              <w:autoSpaceDE w:val="0"/>
              <w:autoSpaceDN w:val="0"/>
              <w:adjustRightInd w:val="0"/>
              <w:spacing w:line="360" w:lineRule="auto"/>
              <w:ind w:right="110"/>
              <w:jc w:val="both"/>
              <w:rPr>
                <w:rFonts w:ascii="Calibri" w:hAnsi="Calibri" w:cs="Calibri"/>
                <w:lang w:val="en-US"/>
              </w:rPr>
            </w:pPr>
            <w:r w:rsidRPr="00025229">
              <w:rPr>
                <w:noProof/>
                <w:lang w:eastAsia="it-IT"/>
              </w:rPr>
              <w:lastRenderedPageBreak/>
              <w:drawing>
                <wp:inline distT="0" distB="0" distL="0" distR="0" wp14:anchorId="4744921F" wp14:editId="478DE8CA">
                  <wp:extent cx="2895600" cy="1763434"/>
                  <wp:effectExtent l="0" t="0" r="0" b="825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1063" cy="1772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BA2" w:rsidRPr="00CA3BA2" w14:paraId="13B895AA" w14:textId="77777777" w:rsidTr="00302BD6">
        <w:trPr>
          <w:trHeight w:val="734"/>
        </w:trPr>
        <w:tc>
          <w:tcPr>
            <w:tcW w:w="3282" w:type="dxa"/>
          </w:tcPr>
          <w:p w14:paraId="3882E68B" w14:textId="77777777" w:rsidR="00CA3BA2" w:rsidRPr="00CA3BA2" w:rsidRDefault="00CA3BA2" w:rsidP="005C7179">
            <w:pPr>
              <w:jc w:val="both"/>
            </w:pPr>
            <w:r w:rsidRPr="00CA3BA2">
              <w:rPr>
                <w:b/>
                <w:bCs/>
              </w:rPr>
              <w:lastRenderedPageBreak/>
              <w:t xml:space="preserve">Obiettivo primario </w:t>
            </w:r>
          </w:p>
        </w:tc>
        <w:tc>
          <w:tcPr>
            <w:tcW w:w="6146" w:type="dxa"/>
          </w:tcPr>
          <w:p w14:paraId="10D342DB" w14:textId="2A42F202" w:rsidR="00CA3BA2" w:rsidRPr="009C55ED" w:rsidRDefault="009C55ED" w:rsidP="009C55ED">
            <w:pPr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Valutare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lang w:val="en-US"/>
              </w:rPr>
              <w:t>sopravvivenza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globale</w:t>
            </w:r>
            <w:proofErr w:type="spellEnd"/>
            <w:r w:rsidRPr="001C2F36">
              <w:rPr>
                <w:rFonts w:ascii="Calibri" w:hAnsi="Calibri" w:cs="Calibri"/>
                <w:lang w:val="en-US"/>
              </w:rPr>
              <w:t xml:space="preserve"> (OS) </w:t>
            </w:r>
          </w:p>
        </w:tc>
      </w:tr>
      <w:tr w:rsidR="00CA3BA2" w14:paraId="34FCC838" w14:textId="77777777" w:rsidTr="00302BD6">
        <w:trPr>
          <w:trHeight w:val="734"/>
        </w:trPr>
        <w:tc>
          <w:tcPr>
            <w:tcW w:w="3282" w:type="dxa"/>
          </w:tcPr>
          <w:p w14:paraId="1EE60827" w14:textId="77777777" w:rsidR="00CA3BA2" w:rsidRPr="00CA3BA2" w:rsidRDefault="00CA3BA2" w:rsidP="005C71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Obiettivi secondari </w:t>
            </w:r>
          </w:p>
        </w:tc>
        <w:tc>
          <w:tcPr>
            <w:tcW w:w="6146" w:type="dxa"/>
          </w:tcPr>
          <w:p w14:paraId="28757C07" w14:textId="77777777" w:rsidR="009C55ED" w:rsidRDefault="009C55ED" w:rsidP="009C55ED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360" w:lineRule="auto"/>
              <w:ind w:left="324" w:right="110"/>
              <w:jc w:val="both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Valutare il tempo di sopravvivenza libera da progressione</w:t>
            </w:r>
            <w:r w:rsidRPr="001C2F36">
              <w:rPr>
                <w:rFonts w:ascii="Calibri" w:eastAsia="MS Mincho" w:hAnsi="Calibri" w:cs="Calibri"/>
                <w:lang w:eastAsia="ja-JP"/>
              </w:rPr>
              <w:t xml:space="preserve"> (PFS)</w:t>
            </w:r>
            <w:r>
              <w:rPr>
                <w:rFonts w:ascii="Calibri" w:eastAsia="MS Mincho" w:hAnsi="Calibri" w:cs="Calibri"/>
                <w:lang w:eastAsia="ja-JP"/>
              </w:rPr>
              <w:t>;</w:t>
            </w:r>
            <w:r w:rsidRPr="001C2F36">
              <w:rPr>
                <w:rFonts w:ascii="Calibri" w:eastAsia="MS Mincho" w:hAnsi="Calibri" w:cs="Calibri"/>
                <w:lang w:eastAsia="ja-JP"/>
              </w:rPr>
              <w:t xml:space="preserve"> </w:t>
            </w:r>
          </w:p>
          <w:p w14:paraId="3E23DE00" w14:textId="77777777" w:rsidR="009C55ED" w:rsidRDefault="009C55ED" w:rsidP="009C55ED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360" w:lineRule="auto"/>
              <w:ind w:left="324" w:right="110"/>
              <w:jc w:val="both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Valutare il tempo intercorso tra la randomizzazione e la prima successive terapia o il decesso (TFST);</w:t>
            </w:r>
          </w:p>
          <w:p w14:paraId="01088E74" w14:textId="77777777" w:rsidR="009C55ED" w:rsidRDefault="009C55ED" w:rsidP="009C55ED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360" w:lineRule="auto"/>
              <w:ind w:left="324"/>
              <w:jc w:val="both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Valutare il tasso di risposta (RR)</w:t>
            </w:r>
            <w:r w:rsidRPr="001C2F36">
              <w:rPr>
                <w:rFonts w:ascii="Calibri" w:eastAsia="MS Mincho" w:hAnsi="Calibri" w:cs="Calibri"/>
                <w:lang w:eastAsia="ja-JP"/>
              </w:rPr>
              <w:t xml:space="preserve"> (RECIST 1.1 </w:t>
            </w:r>
            <w:proofErr w:type="spellStart"/>
            <w:r w:rsidRPr="001C2F36">
              <w:rPr>
                <w:rFonts w:ascii="Calibri" w:eastAsia="MS Mincho" w:hAnsi="Calibri" w:cs="Calibri"/>
                <w:lang w:eastAsia="ja-JP"/>
              </w:rPr>
              <w:t>criteria</w:t>
            </w:r>
            <w:proofErr w:type="spellEnd"/>
            <w:r w:rsidRPr="001C2F36">
              <w:rPr>
                <w:rFonts w:ascii="Calibri" w:eastAsia="MS Mincho" w:hAnsi="Calibri" w:cs="Calibri"/>
                <w:lang w:eastAsia="ja-JP"/>
              </w:rPr>
              <w:t>)</w:t>
            </w:r>
            <w:r>
              <w:rPr>
                <w:rFonts w:ascii="Calibri" w:eastAsia="MS Mincho" w:hAnsi="Calibri" w:cs="Calibri"/>
                <w:lang w:eastAsia="ja-JP"/>
              </w:rPr>
              <w:t>;</w:t>
            </w:r>
          </w:p>
          <w:p w14:paraId="404DB38F" w14:textId="339133E3" w:rsidR="009C55ED" w:rsidRDefault="009C55ED" w:rsidP="009C55ED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360" w:lineRule="auto"/>
              <w:ind w:left="324" w:right="110"/>
              <w:jc w:val="both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 xml:space="preserve">Valutare la sicurezza e la tollerabilità della combinazione di </w:t>
            </w:r>
            <w:proofErr w:type="spellStart"/>
            <w:r>
              <w:rPr>
                <w:rFonts w:ascii="Calibri" w:eastAsia="MS Mincho" w:hAnsi="Calibri" w:cs="Calibri"/>
                <w:lang w:eastAsia="ja-JP"/>
              </w:rPr>
              <w:t>Dostarlimab</w:t>
            </w:r>
            <w:proofErr w:type="spellEnd"/>
            <w:r w:rsidRPr="001C2F36">
              <w:rPr>
                <w:rFonts w:ascii="Calibri" w:eastAsia="MS Mincho" w:hAnsi="Calibri" w:cs="Calibri"/>
                <w:lang w:eastAsia="ja-JP"/>
              </w:rPr>
              <w:t xml:space="preserve"> +</w:t>
            </w:r>
            <w:r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>
              <w:rPr>
                <w:rFonts w:ascii="Calibri" w:eastAsia="MS Mincho" w:hAnsi="Calibri" w:cs="Calibri"/>
                <w:lang w:eastAsia="ja-JP"/>
              </w:rPr>
              <w:t>Niraparib</w:t>
            </w:r>
            <w:proofErr w:type="spellEnd"/>
            <w:r>
              <w:rPr>
                <w:rFonts w:ascii="Calibri" w:eastAsia="MS Mincho" w:hAnsi="Calibri" w:cs="Calibri"/>
                <w:lang w:eastAsia="ja-JP"/>
              </w:rPr>
              <w:t xml:space="preserve">, rispetto alla chemioterapia standard, </w:t>
            </w:r>
            <w:proofErr w:type="gramStart"/>
            <w:r>
              <w:rPr>
                <w:rFonts w:ascii="Calibri" w:eastAsia="MS Mincho" w:hAnsi="Calibri" w:cs="Calibri"/>
                <w:lang w:eastAsia="ja-JP"/>
              </w:rPr>
              <w:t>attraverso  i</w:t>
            </w:r>
            <w:proofErr w:type="gramEnd"/>
            <w:r>
              <w:rPr>
                <w:rFonts w:ascii="Calibri" w:eastAsia="MS Mincho" w:hAnsi="Calibri" w:cs="Calibri"/>
                <w:lang w:eastAsia="ja-JP"/>
              </w:rPr>
              <w:t xml:space="preserve"> criteri CTCAE </w:t>
            </w:r>
            <w:proofErr w:type="spellStart"/>
            <w:r w:rsidRPr="00E66630">
              <w:rPr>
                <w:rFonts w:ascii="Calibri" w:eastAsia="MS Mincho" w:hAnsi="Calibri" w:cs="Calibri"/>
                <w:lang w:eastAsia="ja-JP"/>
              </w:rPr>
              <w:t>vers</w:t>
            </w:r>
            <w:proofErr w:type="spellEnd"/>
            <w:r w:rsidRPr="00E66630">
              <w:rPr>
                <w:rFonts w:ascii="Calibri" w:eastAsia="MS Mincho" w:hAnsi="Calibri" w:cs="Calibri"/>
                <w:lang w:eastAsia="ja-JP"/>
              </w:rPr>
              <w:t xml:space="preserve"> 5.0;</w:t>
            </w:r>
          </w:p>
          <w:p w14:paraId="6C4883FF" w14:textId="795C60F0" w:rsidR="00CA3BA2" w:rsidRPr="009C55ED" w:rsidRDefault="009C55ED" w:rsidP="009C55ED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40" w:line="360" w:lineRule="auto"/>
              <w:ind w:left="324"/>
              <w:jc w:val="both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 xml:space="preserve">Valutare la qualità di vita delle pazienti che ricevono la combinazione </w:t>
            </w:r>
            <w:proofErr w:type="spellStart"/>
            <w:r>
              <w:rPr>
                <w:rFonts w:ascii="Calibri" w:eastAsia="MS Mincho" w:hAnsi="Calibri" w:cs="Calibri"/>
                <w:lang w:eastAsia="ja-JP"/>
              </w:rPr>
              <w:t>Dostarlimab</w:t>
            </w:r>
            <w:proofErr w:type="spellEnd"/>
            <w:r>
              <w:rPr>
                <w:rFonts w:ascii="Calibri" w:eastAsia="MS Mincho" w:hAnsi="Calibri" w:cs="Calibri"/>
                <w:lang w:eastAsia="ja-JP"/>
              </w:rPr>
              <w:t xml:space="preserve"> +</w:t>
            </w:r>
            <w:r w:rsidRPr="001C2F36">
              <w:rPr>
                <w:rFonts w:ascii="Calibri" w:eastAsia="MS Mincho" w:hAnsi="Calibri" w:cs="Calibri"/>
                <w:lang w:eastAsia="ja-JP"/>
              </w:rPr>
              <w:t xml:space="preserve"> </w:t>
            </w:r>
            <w:proofErr w:type="spellStart"/>
            <w:r w:rsidRPr="001C2F36">
              <w:rPr>
                <w:rFonts w:ascii="Calibri" w:eastAsia="MS Mincho" w:hAnsi="Calibri" w:cs="Calibri"/>
                <w:lang w:eastAsia="ja-JP"/>
              </w:rPr>
              <w:t>Niraparib</w:t>
            </w:r>
            <w:proofErr w:type="spellEnd"/>
            <w:r w:rsidRPr="001C2F36">
              <w:rPr>
                <w:rFonts w:ascii="Calibri" w:eastAsia="MS Mincho" w:hAnsi="Calibri" w:cs="Calibri"/>
                <w:lang w:eastAsia="ja-JP"/>
              </w:rPr>
              <w:t xml:space="preserve"> </w:t>
            </w:r>
            <w:r>
              <w:rPr>
                <w:rFonts w:ascii="Calibri" w:eastAsia="MS Mincho" w:hAnsi="Calibri" w:cs="Calibri"/>
                <w:lang w:eastAsia="ja-JP"/>
              </w:rPr>
              <w:t xml:space="preserve">rispetto alla chemioterapia standard, attraverso i questionari </w:t>
            </w:r>
            <w:r w:rsidRPr="001C2F36">
              <w:rPr>
                <w:rFonts w:ascii="Calibri" w:eastAsia="MS Mincho" w:hAnsi="Calibri" w:cs="Calibri"/>
                <w:lang w:eastAsia="ja-JP"/>
              </w:rPr>
              <w:t>EOR</w:t>
            </w:r>
            <w:r>
              <w:rPr>
                <w:rFonts w:ascii="Calibri" w:eastAsia="MS Mincho" w:hAnsi="Calibri" w:cs="Calibri"/>
                <w:lang w:eastAsia="ja-JP"/>
              </w:rPr>
              <w:t>TC QLQC30, EORTC QLQOV28, EQ-5DL</w:t>
            </w:r>
          </w:p>
        </w:tc>
      </w:tr>
      <w:tr w:rsidR="00CA3BA2" w14:paraId="24C6B998" w14:textId="77777777" w:rsidTr="00302BD6">
        <w:trPr>
          <w:trHeight w:val="734"/>
        </w:trPr>
        <w:tc>
          <w:tcPr>
            <w:tcW w:w="3282" w:type="dxa"/>
          </w:tcPr>
          <w:p w14:paraId="6099EC7A" w14:textId="77777777" w:rsidR="00CA3BA2" w:rsidRPr="00CA3BA2" w:rsidRDefault="00CA3BA2" w:rsidP="005C71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Obiettivi esploratori </w:t>
            </w:r>
          </w:p>
        </w:tc>
        <w:tc>
          <w:tcPr>
            <w:tcW w:w="6146" w:type="dxa"/>
          </w:tcPr>
          <w:p w14:paraId="55183311" w14:textId="77777777" w:rsidR="009C55ED" w:rsidRDefault="00842AE2" w:rsidP="009C55ED">
            <w:pPr>
              <w:keepNext/>
              <w:keepLines/>
              <w:pageBreakBefore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libri" w:hAnsi="Calibri" w:cs="Calibri"/>
                <w:lang w:val="en-US"/>
              </w:rPr>
            </w:pPr>
            <w:r>
              <w:t xml:space="preserve"> </w:t>
            </w:r>
            <w:proofErr w:type="spellStart"/>
            <w:r w:rsidR="009C55ED">
              <w:rPr>
                <w:rFonts w:ascii="Calibri" w:hAnsi="Calibri" w:cs="Calibri"/>
                <w:lang w:val="en-US"/>
              </w:rPr>
              <w:t>Indagare</w:t>
            </w:r>
            <w:proofErr w:type="spellEnd"/>
            <w:r w:rsidR="009C55ED">
              <w:rPr>
                <w:rFonts w:ascii="Calibri" w:hAnsi="Calibri" w:cs="Calibri"/>
                <w:lang w:val="en-US"/>
              </w:rPr>
              <w:t xml:space="preserve"> la </w:t>
            </w:r>
            <w:proofErr w:type="spellStart"/>
            <w:r w:rsidR="009C55ED">
              <w:rPr>
                <w:rFonts w:ascii="Calibri" w:hAnsi="Calibri" w:cs="Calibri"/>
                <w:lang w:val="en-US"/>
              </w:rPr>
              <w:t>correlazione</w:t>
            </w:r>
            <w:proofErr w:type="spellEnd"/>
            <w:r w:rsidR="009C55E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9C55ED">
              <w:rPr>
                <w:rFonts w:ascii="Calibri" w:hAnsi="Calibri" w:cs="Calibri"/>
                <w:lang w:val="en-US"/>
              </w:rPr>
              <w:t>esistente</w:t>
            </w:r>
            <w:proofErr w:type="spellEnd"/>
            <w:r w:rsidR="009C55E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9C55ED">
              <w:rPr>
                <w:rFonts w:ascii="Calibri" w:hAnsi="Calibri" w:cs="Calibri"/>
                <w:lang w:val="en-US"/>
              </w:rPr>
              <w:t>tra</w:t>
            </w:r>
            <w:proofErr w:type="spellEnd"/>
            <w:r w:rsidR="009C55E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9C55ED">
              <w:rPr>
                <w:rFonts w:ascii="Calibri" w:hAnsi="Calibri" w:cs="Calibri"/>
                <w:lang w:val="en-US"/>
              </w:rPr>
              <w:t>i</w:t>
            </w:r>
            <w:proofErr w:type="spellEnd"/>
            <w:r w:rsidR="009C55E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9C55ED">
              <w:rPr>
                <w:rFonts w:ascii="Calibri" w:hAnsi="Calibri" w:cs="Calibri"/>
                <w:lang w:val="en-US"/>
              </w:rPr>
              <w:t>livelli</w:t>
            </w:r>
            <w:proofErr w:type="spellEnd"/>
            <w:r w:rsidR="009C55ED">
              <w:rPr>
                <w:rFonts w:ascii="Calibri" w:hAnsi="Calibri" w:cs="Calibri"/>
                <w:lang w:val="en-US"/>
              </w:rPr>
              <w:t xml:space="preserve"> di </w:t>
            </w:r>
            <w:proofErr w:type="spellStart"/>
            <w:r w:rsidR="009C55ED">
              <w:rPr>
                <w:rFonts w:ascii="Calibri" w:hAnsi="Calibri" w:cs="Calibri"/>
                <w:lang w:val="en-US"/>
              </w:rPr>
              <w:t>espressione</w:t>
            </w:r>
            <w:proofErr w:type="spellEnd"/>
            <w:r w:rsidR="009C55ED">
              <w:rPr>
                <w:rFonts w:ascii="Calibri" w:hAnsi="Calibri" w:cs="Calibri"/>
                <w:lang w:val="en-US"/>
              </w:rPr>
              <w:t xml:space="preserve"> di </w:t>
            </w:r>
            <w:r w:rsidR="009C55ED" w:rsidRPr="001C2F36">
              <w:rPr>
                <w:rFonts w:ascii="Calibri" w:hAnsi="Calibri" w:cs="Calibri"/>
                <w:lang w:val="en-US"/>
              </w:rPr>
              <w:t xml:space="preserve">PD-L1 </w:t>
            </w:r>
            <w:r w:rsidR="009C55ED">
              <w:rPr>
                <w:rFonts w:ascii="Calibri" w:hAnsi="Calibri" w:cs="Calibri"/>
                <w:lang w:val="en-US"/>
              </w:rPr>
              <w:t xml:space="preserve">e la </w:t>
            </w:r>
            <w:proofErr w:type="spellStart"/>
            <w:r w:rsidR="009C55ED">
              <w:rPr>
                <w:rFonts w:ascii="Calibri" w:hAnsi="Calibri" w:cs="Calibri"/>
                <w:lang w:val="en-US"/>
              </w:rPr>
              <w:t>risposta</w:t>
            </w:r>
            <w:proofErr w:type="spellEnd"/>
            <w:r w:rsidR="009C55ED">
              <w:rPr>
                <w:rFonts w:ascii="Calibri" w:hAnsi="Calibri" w:cs="Calibri"/>
                <w:lang w:val="en-US"/>
              </w:rPr>
              <w:t xml:space="preserve"> al </w:t>
            </w:r>
            <w:proofErr w:type="spellStart"/>
            <w:r w:rsidR="009C55ED">
              <w:rPr>
                <w:rFonts w:ascii="Calibri" w:hAnsi="Calibri" w:cs="Calibri"/>
                <w:lang w:val="en-US"/>
              </w:rPr>
              <w:t>trattamento</w:t>
            </w:r>
            <w:proofErr w:type="spellEnd"/>
            <w:r w:rsidR="009C55ED">
              <w:rPr>
                <w:rFonts w:ascii="Calibri" w:hAnsi="Calibri" w:cs="Calibri"/>
                <w:lang w:val="en-US"/>
              </w:rPr>
              <w:t xml:space="preserve"> con</w:t>
            </w:r>
            <w:r w:rsidR="009C55ED" w:rsidRPr="001C2F3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9C55ED">
              <w:rPr>
                <w:rFonts w:ascii="Calibri" w:hAnsi="Calibri" w:cs="Calibri"/>
                <w:lang w:val="en-US"/>
              </w:rPr>
              <w:t>Dostarlimab</w:t>
            </w:r>
            <w:proofErr w:type="spellEnd"/>
            <w:r w:rsidR="009C55ED"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="009C55ED">
              <w:rPr>
                <w:rFonts w:ascii="Calibri" w:hAnsi="Calibri" w:cs="Calibri"/>
                <w:lang w:val="en-US"/>
              </w:rPr>
              <w:t>attraverso</w:t>
            </w:r>
            <w:proofErr w:type="spellEnd"/>
            <w:r w:rsidR="009C55E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9C55ED">
              <w:rPr>
                <w:rFonts w:ascii="Calibri" w:hAnsi="Calibri" w:cs="Calibri"/>
                <w:lang w:val="en-US"/>
              </w:rPr>
              <w:t>l’analisi</w:t>
            </w:r>
            <w:proofErr w:type="spellEnd"/>
            <w:r w:rsidR="009C55ED">
              <w:rPr>
                <w:rFonts w:ascii="Calibri" w:hAnsi="Calibri" w:cs="Calibri"/>
                <w:lang w:val="en-US"/>
              </w:rPr>
              <w:t xml:space="preserve"> di </w:t>
            </w:r>
            <w:proofErr w:type="spellStart"/>
            <w:r w:rsidR="009C55ED">
              <w:rPr>
                <w:rFonts w:ascii="Calibri" w:hAnsi="Calibri" w:cs="Calibri"/>
                <w:lang w:val="en-US"/>
              </w:rPr>
              <w:t>tessuto</w:t>
            </w:r>
            <w:proofErr w:type="spellEnd"/>
            <w:r w:rsidR="009C55E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9C55ED">
              <w:rPr>
                <w:rFonts w:ascii="Calibri" w:hAnsi="Calibri" w:cs="Calibri"/>
                <w:lang w:val="en-US"/>
              </w:rPr>
              <w:t>tumorale</w:t>
            </w:r>
            <w:proofErr w:type="spellEnd"/>
            <w:r w:rsidR="009C55E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9C55ED">
              <w:rPr>
                <w:rFonts w:ascii="Calibri" w:hAnsi="Calibri" w:cs="Calibri"/>
                <w:lang w:val="en-US"/>
              </w:rPr>
              <w:t>d’archivio</w:t>
            </w:r>
            <w:proofErr w:type="spellEnd"/>
            <w:r w:rsidR="009C55ED">
              <w:rPr>
                <w:rFonts w:ascii="Calibri" w:hAnsi="Calibri" w:cs="Calibri"/>
                <w:lang w:val="en-US"/>
              </w:rPr>
              <w:t xml:space="preserve"> o </w:t>
            </w:r>
            <w:proofErr w:type="spellStart"/>
            <w:r w:rsidR="009C55ED">
              <w:rPr>
                <w:rFonts w:ascii="Calibri" w:hAnsi="Calibri" w:cs="Calibri"/>
                <w:lang w:val="en-US"/>
              </w:rPr>
              <w:t>ottenuto</w:t>
            </w:r>
            <w:proofErr w:type="spellEnd"/>
            <w:r w:rsidR="009C55E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9C55ED">
              <w:rPr>
                <w:rFonts w:ascii="Calibri" w:hAnsi="Calibri" w:cs="Calibri"/>
                <w:lang w:val="en-US"/>
              </w:rPr>
              <w:t>tramite</w:t>
            </w:r>
            <w:proofErr w:type="spellEnd"/>
            <w:r w:rsidR="009C55E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9C55ED">
              <w:rPr>
                <w:rFonts w:ascii="Calibri" w:hAnsi="Calibri" w:cs="Calibri"/>
                <w:lang w:val="en-US"/>
              </w:rPr>
              <w:t>nuova</w:t>
            </w:r>
            <w:proofErr w:type="spellEnd"/>
            <w:r w:rsidR="009C55E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9C55ED">
              <w:rPr>
                <w:rFonts w:ascii="Calibri" w:hAnsi="Calibri" w:cs="Calibri"/>
                <w:lang w:val="en-US"/>
              </w:rPr>
              <w:t>biopsia</w:t>
            </w:r>
            <w:proofErr w:type="spellEnd"/>
            <w:r w:rsidR="009C55ED">
              <w:rPr>
                <w:rFonts w:ascii="Calibri" w:hAnsi="Calibri" w:cs="Calibri"/>
                <w:lang w:val="en-US"/>
              </w:rPr>
              <w:t>;</w:t>
            </w:r>
          </w:p>
          <w:p w14:paraId="1C6BEA52" w14:textId="77777777" w:rsidR="009C55ED" w:rsidRDefault="009C55ED" w:rsidP="009C55ED">
            <w:pPr>
              <w:keepNext/>
              <w:keepLines/>
              <w:pageBreakBefore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Indagare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lang w:val="en-US"/>
              </w:rPr>
              <w:t>correlazione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tra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il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CPS (</w:t>
            </w:r>
            <w:proofErr w:type="spellStart"/>
            <w:r w:rsidRPr="001404C6">
              <w:rPr>
                <w:rFonts w:ascii="Calibri" w:hAnsi="Calibri" w:cs="Calibri"/>
                <w:lang w:val="en-US"/>
              </w:rPr>
              <w:t>rapporto</w:t>
            </w:r>
            <w:proofErr w:type="spellEnd"/>
            <w:r w:rsidRPr="001404C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tra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1404C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il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numero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di </w:t>
            </w:r>
            <w:r w:rsidRPr="001404C6">
              <w:rPr>
                <w:rFonts w:ascii="Calibri" w:hAnsi="Calibri" w:cs="Calibri"/>
                <w:lang w:val="en-US"/>
              </w:rPr>
              <w:t>cellule PD-L1</w:t>
            </w:r>
            <w:r>
              <w:rPr>
                <w:rFonts w:ascii="Calibri" w:hAnsi="Calibri" w:cs="Calibri"/>
                <w:lang w:val="en-US"/>
              </w:rPr>
              <w:t xml:space="preserve"> positive (</w:t>
            </w:r>
            <w:r w:rsidRPr="001404C6">
              <w:rPr>
                <w:rFonts w:ascii="Calibri" w:hAnsi="Calibri" w:cs="Calibri"/>
                <w:lang w:val="en-US"/>
              </w:rPr>
              <w:t xml:space="preserve">cellule </w:t>
            </w:r>
            <w:proofErr w:type="spellStart"/>
            <w:r w:rsidRPr="001404C6">
              <w:rPr>
                <w:rFonts w:ascii="Calibri" w:hAnsi="Calibri" w:cs="Calibri"/>
                <w:lang w:val="en-US"/>
              </w:rPr>
              <w:t>tu</w:t>
            </w:r>
            <w:r>
              <w:rPr>
                <w:rFonts w:ascii="Calibri" w:hAnsi="Calibri" w:cs="Calibri"/>
                <w:lang w:val="en-US"/>
              </w:rPr>
              <w:t>morali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val="en-US"/>
              </w:rPr>
              <w:t>linfociti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lang w:val="en-US"/>
              </w:rPr>
              <w:t>macrofagi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) </w:t>
            </w:r>
            <w:proofErr w:type="spellStart"/>
            <w:r>
              <w:rPr>
                <w:rFonts w:ascii="Calibri" w:hAnsi="Calibri" w:cs="Calibri"/>
                <w:lang w:val="en-US"/>
              </w:rPr>
              <w:t>ed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il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404C6">
              <w:rPr>
                <w:rFonts w:ascii="Calibri" w:hAnsi="Calibri" w:cs="Calibri"/>
                <w:lang w:val="en-US"/>
              </w:rPr>
              <w:t>numero</w:t>
            </w:r>
            <w:proofErr w:type="spellEnd"/>
            <w:r w:rsidRPr="001404C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404C6">
              <w:rPr>
                <w:rFonts w:ascii="Calibri" w:hAnsi="Calibri" w:cs="Calibri"/>
                <w:lang w:val="en-US"/>
              </w:rPr>
              <w:t>totale</w:t>
            </w:r>
            <w:proofErr w:type="spellEnd"/>
            <w:r w:rsidRPr="001404C6">
              <w:rPr>
                <w:rFonts w:ascii="Calibri" w:hAnsi="Calibri" w:cs="Calibri"/>
                <w:lang w:val="en-US"/>
              </w:rPr>
              <w:t xml:space="preserve"> di cellule </w:t>
            </w:r>
            <w:proofErr w:type="spellStart"/>
            <w:r w:rsidRPr="001404C6">
              <w:rPr>
                <w:rFonts w:ascii="Calibri" w:hAnsi="Calibri" w:cs="Calibri"/>
                <w:lang w:val="en-US"/>
              </w:rPr>
              <w:t>tumorali</w:t>
            </w:r>
            <w:proofErr w:type="spellEnd"/>
            <w:r w:rsidRPr="001404C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404C6">
              <w:rPr>
                <w:rFonts w:ascii="Calibri" w:hAnsi="Calibri" w:cs="Calibri"/>
                <w:lang w:val="en-US"/>
              </w:rPr>
              <w:t>vitali</w:t>
            </w:r>
            <w:proofErr w:type="spellEnd"/>
            <w:r>
              <w:rPr>
                <w:rFonts w:ascii="Calibri" w:hAnsi="Calibri" w:cs="Calibri"/>
                <w:lang w:val="en-US"/>
              </w:rPr>
              <w:t>,</w:t>
            </w:r>
            <w:r w:rsidRPr="001404C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404C6">
              <w:rPr>
                <w:rFonts w:ascii="Calibri" w:hAnsi="Calibri" w:cs="Calibri"/>
                <w:lang w:val="en-US"/>
              </w:rPr>
              <w:t>moltiplicato</w:t>
            </w:r>
            <w:proofErr w:type="spellEnd"/>
            <w:r w:rsidRPr="001404C6">
              <w:rPr>
                <w:rFonts w:ascii="Calibri" w:hAnsi="Calibri" w:cs="Calibri"/>
                <w:lang w:val="en-US"/>
              </w:rPr>
              <w:t xml:space="preserve"> per 100</w:t>
            </w:r>
            <w:r>
              <w:rPr>
                <w:rFonts w:ascii="Calibri" w:hAnsi="Calibri" w:cs="Calibri"/>
                <w:lang w:val="en-US"/>
              </w:rPr>
              <w:t xml:space="preserve">) </w:t>
            </w:r>
            <w:r w:rsidRPr="001404C6">
              <w:rPr>
                <w:rFonts w:ascii="Calibri" w:hAnsi="Calibri" w:cs="Calibri"/>
                <w:lang w:val="en-US"/>
              </w:rPr>
              <w:t xml:space="preserve">e </w:t>
            </w:r>
            <w:proofErr w:type="spellStart"/>
            <w:r w:rsidRPr="001404C6">
              <w:rPr>
                <w:rFonts w:ascii="Calibri" w:hAnsi="Calibri" w:cs="Calibri"/>
                <w:lang w:val="en-US"/>
              </w:rPr>
              <w:t>l'efficacia</w:t>
            </w:r>
            <w:proofErr w:type="spellEnd"/>
            <w:r w:rsidRPr="001404C6">
              <w:rPr>
                <w:rFonts w:ascii="Calibri" w:hAnsi="Calibri" w:cs="Calibri"/>
                <w:lang w:val="en-US"/>
              </w:rPr>
              <w:t xml:space="preserve"> del </w:t>
            </w:r>
            <w:proofErr w:type="spellStart"/>
            <w:r w:rsidRPr="001404C6">
              <w:rPr>
                <w:rFonts w:ascii="Calibri" w:hAnsi="Calibri" w:cs="Calibri"/>
                <w:lang w:val="en-US"/>
              </w:rPr>
              <w:t>t</w:t>
            </w:r>
            <w:r>
              <w:rPr>
                <w:rFonts w:ascii="Calibri" w:hAnsi="Calibri" w:cs="Calibri"/>
                <w:lang w:val="en-US"/>
              </w:rPr>
              <w:t>rattamento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lang w:val="en-US"/>
              </w:rPr>
              <w:t>dostarlimab</w:t>
            </w:r>
            <w:proofErr w:type="spellEnd"/>
            <w:r>
              <w:rPr>
                <w:rFonts w:ascii="Calibri" w:hAnsi="Calibri" w:cs="Calibri"/>
                <w:lang w:val="en-US"/>
              </w:rPr>
              <w:t>/</w:t>
            </w:r>
            <w:proofErr w:type="spellStart"/>
            <w:r w:rsidRPr="001404C6">
              <w:rPr>
                <w:rFonts w:ascii="Calibri" w:hAnsi="Calibri" w:cs="Calibri"/>
                <w:lang w:val="en-US"/>
              </w:rPr>
              <w:t>niraparib</w:t>
            </w:r>
            <w:proofErr w:type="spellEnd"/>
            <w:r>
              <w:rPr>
                <w:rFonts w:ascii="Calibri" w:hAnsi="Calibri" w:cs="Calibri"/>
                <w:lang w:val="en-US"/>
              </w:rPr>
              <w:t>,</w:t>
            </w:r>
            <w:r w:rsidRPr="001404C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404C6">
              <w:rPr>
                <w:rFonts w:ascii="Calibri" w:hAnsi="Calibri" w:cs="Calibri"/>
                <w:lang w:val="en-US"/>
              </w:rPr>
              <w:t>utilizzando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tessuto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tumorale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d’archivio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lang w:val="en-US"/>
              </w:rPr>
              <w:t>ottenuto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tramite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nuova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biopsia</w:t>
            </w:r>
            <w:proofErr w:type="spellEnd"/>
            <w:r>
              <w:rPr>
                <w:rFonts w:ascii="Calibri" w:hAnsi="Calibri" w:cs="Calibri"/>
                <w:lang w:val="en-US"/>
              </w:rPr>
              <w:t>;</w:t>
            </w:r>
          </w:p>
          <w:p w14:paraId="730908C7" w14:textId="77777777" w:rsidR="009C55ED" w:rsidRPr="001C2F36" w:rsidRDefault="009C55ED" w:rsidP="009C55ED">
            <w:pPr>
              <w:keepNext/>
              <w:keepLines/>
              <w:pageBreakBefore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Indagare</w:t>
            </w:r>
            <w:proofErr w:type="spellEnd"/>
            <w:r w:rsidRPr="001404C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404C6">
              <w:rPr>
                <w:rFonts w:ascii="Calibri" w:hAnsi="Calibri" w:cs="Calibri"/>
                <w:lang w:val="en-US"/>
              </w:rPr>
              <w:t>l'efficacia</w:t>
            </w:r>
            <w:proofErr w:type="spellEnd"/>
            <w:r w:rsidRPr="001404C6">
              <w:rPr>
                <w:rFonts w:ascii="Calibri" w:hAnsi="Calibri" w:cs="Calibri"/>
                <w:lang w:val="en-US"/>
              </w:rPr>
              <w:t xml:space="preserve"> del </w:t>
            </w:r>
            <w:proofErr w:type="spellStart"/>
            <w:r w:rsidRPr="001404C6">
              <w:rPr>
                <w:rFonts w:ascii="Calibri" w:hAnsi="Calibri" w:cs="Calibri"/>
                <w:lang w:val="en-US"/>
              </w:rPr>
              <w:t>trattamento</w:t>
            </w:r>
            <w:proofErr w:type="spellEnd"/>
            <w:r w:rsidRPr="001404C6">
              <w:rPr>
                <w:rFonts w:ascii="Calibri" w:hAnsi="Calibri" w:cs="Calibri"/>
                <w:lang w:val="en-US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lang w:val="en-US"/>
              </w:rPr>
              <w:t>dostarlimab</w:t>
            </w:r>
            <w:proofErr w:type="spellEnd"/>
            <w:r>
              <w:rPr>
                <w:rFonts w:ascii="Calibri" w:hAnsi="Calibri" w:cs="Calibri"/>
                <w:lang w:val="en-US"/>
              </w:rPr>
              <w:t>/</w:t>
            </w:r>
            <w:proofErr w:type="spellStart"/>
            <w:r>
              <w:rPr>
                <w:rFonts w:ascii="Calibri" w:hAnsi="Calibri" w:cs="Calibri"/>
                <w:lang w:val="en-US"/>
              </w:rPr>
              <w:t>n</w:t>
            </w:r>
            <w:r w:rsidRPr="001404C6">
              <w:rPr>
                <w:rFonts w:ascii="Calibri" w:hAnsi="Calibri" w:cs="Calibri"/>
                <w:lang w:val="en-US"/>
              </w:rPr>
              <w:t>iraparib</w:t>
            </w:r>
            <w:proofErr w:type="spellEnd"/>
            <w:r w:rsidRPr="001404C6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>in base</w:t>
            </w:r>
            <w:r w:rsidRPr="001404C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404C6">
              <w:rPr>
                <w:rFonts w:ascii="Calibri" w:hAnsi="Calibri" w:cs="Calibri"/>
                <w:lang w:val="en-US"/>
              </w:rPr>
              <w:t>all'uso</w:t>
            </w:r>
            <w:proofErr w:type="spellEnd"/>
            <w:r w:rsidRPr="001404C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1404C6">
              <w:rPr>
                <w:rFonts w:ascii="Calibri" w:hAnsi="Calibri" w:cs="Calibri"/>
                <w:lang w:val="en-US"/>
              </w:rPr>
              <w:t>precedente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di PARP-I e/</w:t>
            </w:r>
            <w:r w:rsidRPr="001404C6">
              <w:rPr>
                <w:rFonts w:ascii="Calibri" w:hAnsi="Calibri" w:cs="Calibri"/>
                <w:lang w:val="en-US"/>
              </w:rPr>
              <w:t xml:space="preserve">o </w:t>
            </w:r>
            <w:proofErr w:type="spellStart"/>
            <w:r w:rsidRPr="001404C6">
              <w:rPr>
                <w:rFonts w:ascii="Calibri" w:hAnsi="Calibri" w:cs="Calibri"/>
                <w:lang w:val="en-US"/>
              </w:rPr>
              <w:t>immunoterapia</w:t>
            </w:r>
            <w:proofErr w:type="spellEnd"/>
            <w:r>
              <w:rPr>
                <w:rFonts w:ascii="Calibri" w:hAnsi="Calibri" w:cs="Calibri"/>
                <w:lang w:val="en-US"/>
              </w:rPr>
              <w:t>;</w:t>
            </w:r>
          </w:p>
          <w:p w14:paraId="3CA2B4F3" w14:textId="77777777" w:rsidR="009C55ED" w:rsidRPr="001C2F36" w:rsidRDefault="009C55ED" w:rsidP="009C55ED">
            <w:pPr>
              <w:keepNext/>
              <w:keepLines/>
              <w:pageBreakBefore/>
              <w:widowControl w:val="0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 w:rsidRPr="00336697">
              <w:rPr>
                <w:rFonts w:ascii="Calibri" w:hAnsi="Calibri" w:cs="Calibri"/>
                <w:lang w:val="en-US"/>
              </w:rPr>
              <w:t>Indagare</w:t>
            </w:r>
            <w:proofErr w:type="spellEnd"/>
            <w:r w:rsidRPr="00336697">
              <w:rPr>
                <w:rFonts w:ascii="Calibri" w:hAnsi="Calibri" w:cs="Calibri"/>
                <w:lang w:val="en-US"/>
              </w:rPr>
              <w:t xml:space="preserve"> la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correlazione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esistente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tra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lang w:val="en-US"/>
              </w:rPr>
              <w:t>presenza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di cellule </w:t>
            </w:r>
            <w:proofErr w:type="spellStart"/>
            <w:r>
              <w:rPr>
                <w:rFonts w:ascii="Calibri" w:hAnsi="Calibri" w:cs="Calibri"/>
                <w:lang w:val="en-US"/>
              </w:rPr>
              <w:t>soppressorie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lang w:val="en-US"/>
              </w:rPr>
              <w:t>derivazione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mieloide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lang w:val="en-US"/>
              </w:rPr>
              <w:t>linfoide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1C2F36">
              <w:rPr>
                <w:rFonts w:ascii="Calibri" w:hAnsi="Calibri" w:cs="Calibri"/>
                <w:lang w:val="en-US"/>
              </w:rPr>
              <w:t>(MDSC)</w:t>
            </w:r>
            <w:r>
              <w:rPr>
                <w:rFonts w:ascii="Calibri" w:hAnsi="Calibri" w:cs="Calibri"/>
                <w:lang w:val="en-US"/>
              </w:rPr>
              <w:t xml:space="preserve"> o di cellule T </w:t>
            </w:r>
            <w:proofErr w:type="spellStart"/>
            <w:r>
              <w:rPr>
                <w:rFonts w:ascii="Calibri" w:hAnsi="Calibri" w:cs="Calibri"/>
                <w:lang w:val="en-US"/>
              </w:rPr>
              <w:t>regolatorie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1C2F36">
              <w:rPr>
                <w:rFonts w:ascii="Calibri" w:hAnsi="Calibri" w:cs="Calibri"/>
                <w:lang w:val="en-US"/>
              </w:rPr>
              <w:t>(T-</w:t>
            </w:r>
            <w:proofErr w:type="spellStart"/>
            <w:r w:rsidRPr="001C2F36">
              <w:rPr>
                <w:rFonts w:ascii="Calibri" w:hAnsi="Calibri" w:cs="Calibri"/>
                <w:lang w:val="en-US"/>
              </w:rPr>
              <w:t>regs</w:t>
            </w:r>
            <w:proofErr w:type="spellEnd"/>
            <w:r w:rsidRPr="001C2F36">
              <w:rPr>
                <w:rFonts w:ascii="Calibri" w:hAnsi="Calibri" w:cs="Calibri"/>
                <w:lang w:val="en-US"/>
              </w:rPr>
              <w:t xml:space="preserve">) </w:t>
            </w:r>
            <w:r>
              <w:rPr>
                <w:rFonts w:ascii="Calibri" w:hAnsi="Calibri" w:cs="Calibri"/>
                <w:lang w:val="en-US"/>
              </w:rPr>
              <w:t xml:space="preserve">e la </w:t>
            </w:r>
            <w:proofErr w:type="spellStart"/>
            <w:r>
              <w:rPr>
                <w:rFonts w:ascii="Calibri" w:hAnsi="Calibri" w:cs="Calibri"/>
                <w:lang w:val="en-US"/>
              </w:rPr>
              <w:t>risposta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al </w:t>
            </w:r>
            <w:proofErr w:type="spellStart"/>
            <w:r>
              <w:rPr>
                <w:rFonts w:ascii="Calibri" w:hAnsi="Calibri" w:cs="Calibri"/>
                <w:lang w:val="en-US"/>
              </w:rPr>
              <w:t>trattamento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lang w:val="en-US"/>
              </w:rPr>
              <w:t>dostarlimab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val="en-US"/>
              </w:rPr>
              <w:t>attraverso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l’analisi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lang w:val="en-US"/>
              </w:rPr>
              <w:t>tessuto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tumorale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d’archivio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lang w:val="en-US"/>
              </w:rPr>
              <w:t>campioni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ematici</w:t>
            </w:r>
            <w:proofErr w:type="spellEnd"/>
            <w:r>
              <w:rPr>
                <w:rFonts w:ascii="Calibri" w:hAnsi="Calibri" w:cs="Calibri"/>
                <w:lang w:val="en-US"/>
              </w:rPr>
              <w:t>;</w:t>
            </w:r>
          </w:p>
          <w:p w14:paraId="0C11DFE3" w14:textId="4904B574" w:rsidR="00CA3BA2" w:rsidRDefault="009C55ED" w:rsidP="009C55ED">
            <w:pPr>
              <w:jc w:val="both"/>
            </w:pPr>
            <w:proofErr w:type="spellStart"/>
            <w:r>
              <w:rPr>
                <w:rFonts w:ascii="Calibri" w:hAnsi="Calibri" w:cs="Calibri"/>
                <w:lang w:val="en-US"/>
              </w:rPr>
              <w:t>Indagare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lang w:val="en-US"/>
              </w:rPr>
              <w:t>presenza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lang w:val="en-US"/>
              </w:rPr>
              <w:t>specifiche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alterazioni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genetiche</w:t>
            </w:r>
            <w:proofErr w:type="spellEnd"/>
            <w:r w:rsidRPr="001C2F36">
              <w:rPr>
                <w:rFonts w:ascii="Calibri" w:hAnsi="Calibri" w:cs="Calibri"/>
                <w:lang w:val="en-U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lang w:val="en-US"/>
              </w:rPr>
              <w:t>tra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cui </w:t>
            </w:r>
            <w:proofErr w:type="spellStart"/>
            <w:r>
              <w:rPr>
                <w:rFonts w:ascii="Calibri" w:hAnsi="Calibri" w:cs="Calibri"/>
                <w:lang w:val="en-US"/>
              </w:rPr>
              <w:t>mutazioni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HRD</w:t>
            </w:r>
            <w:r w:rsidRPr="001C2F36">
              <w:rPr>
                <w:rFonts w:ascii="Calibri" w:hAnsi="Calibri" w:cs="Calibri"/>
                <w:lang w:val="en-US"/>
              </w:rPr>
              <w:t xml:space="preserve">) </w:t>
            </w:r>
            <w:proofErr w:type="spellStart"/>
            <w:r>
              <w:rPr>
                <w:rFonts w:ascii="Calibri" w:hAnsi="Calibri" w:cs="Calibri"/>
                <w:lang w:val="en-US"/>
              </w:rPr>
              <w:t>che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potrebbero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indicare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genotipi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associati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ad </w:t>
            </w:r>
            <w:proofErr w:type="spellStart"/>
            <w:r>
              <w:rPr>
                <w:rFonts w:ascii="Calibri" w:hAnsi="Calibri" w:cs="Calibri"/>
                <w:lang w:val="en-US"/>
              </w:rPr>
              <w:t>una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maggiore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efficiacia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dell’inibizione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di PARP o </w:t>
            </w:r>
            <w:proofErr w:type="spellStart"/>
            <w:r>
              <w:rPr>
                <w:rFonts w:ascii="Calibri" w:hAnsi="Calibri" w:cs="Calibri"/>
                <w:lang w:val="en-US"/>
              </w:rPr>
              <w:t>della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via </w:t>
            </w:r>
            <w:r w:rsidRPr="001C2F36">
              <w:rPr>
                <w:rFonts w:ascii="Calibri" w:hAnsi="Calibri" w:cs="Calibri"/>
                <w:lang w:val="en-US"/>
              </w:rPr>
              <w:t>PD-1/PD-L1.</w:t>
            </w:r>
          </w:p>
        </w:tc>
      </w:tr>
      <w:tr w:rsidR="00CA3BA2" w14:paraId="7D5FDF9A" w14:textId="77777777" w:rsidTr="00302BD6">
        <w:trPr>
          <w:trHeight w:val="734"/>
        </w:trPr>
        <w:tc>
          <w:tcPr>
            <w:tcW w:w="3282" w:type="dxa"/>
          </w:tcPr>
          <w:p w14:paraId="714A0C0E" w14:textId="77777777" w:rsidR="00CA3BA2" w:rsidRPr="00CA3BA2" w:rsidRDefault="00CA3BA2" w:rsidP="005C717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Criteri di inclusione/esclusione </w:t>
            </w:r>
          </w:p>
        </w:tc>
        <w:tc>
          <w:tcPr>
            <w:tcW w:w="6146" w:type="dxa"/>
          </w:tcPr>
          <w:p w14:paraId="4CD7974E" w14:textId="77777777" w:rsidR="009C55ED" w:rsidRDefault="009C55ED" w:rsidP="009C55ED">
            <w:pPr>
              <w:widowControl w:val="0"/>
              <w:spacing w:line="360" w:lineRule="auto"/>
              <w:jc w:val="both"/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Criteri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inclusione</w:t>
            </w:r>
            <w:proofErr w:type="spellEnd"/>
            <w:r w:rsidRPr="00500D11">
              <w:rPr>
                <w:rFonts w:ascii="Calibri" w:hAnsi="Calibri" w:cs="Calibri"/>
                <w:b/>
                <w:lang w:val="en-US"/>
              </w:rPr>
              <w:t>:</w:t>
            </w:r>
          </w:p>
          <w:p w14:paraId="05D467F4" w14:textId="77777777" w:rsidR="009C55ED" w:rsidRDefault="009C55ED" w:rsidP="009C55ED">
            <w:pPr>
              <w:widowControl w:val="0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Calibri" w:hAnsi="Calibri" w:cs="Calibri"/>
                <w:lang w:val="en-GB"/>
              </w:rPr>
            </w:pPr>
            <w:proofErr w:type="spellStart"/>
            <w:r>
              <w:rPr>
                <w:rFonts w:ascii="Calibri" w:hAnsi="Calibri" w:cs="Calibri"/>
                <w:lang w:val="en-GB"/>
              </w:rPr>
              <w:t>Pazienti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con carcinoma </w:t>
            </w:r>
            <w:proofErr w:type="spellStart"/>
            <w:r>
              <w:rPr>
                <w:rFonts w:ascii="Calibri" w:hAnsi="Calibri" w:cs="Calibri"/>
                <w:lang w:val="en-GB"/>
              </w:rPr>
              <w:t>ricorrente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ovarico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val="en-GB"/>
              </w:rPr>
              <w:t>delle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tube di </w:t>
            </w:r>
            <w:proofErr w:type="spellStart"/>
            <w:r>
              <w:rPr>
                <w:rFonts w:ascii="Calibri" w:hAnsi="Calibri" w:cs="Calibri"/>
                <w:lang w:val="en-GB"/>
              </w:rPr>
              <w:t>falloppio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lang w:val="en-GB"/>
              </w:rPr>
              <w:t>primitivo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lang w:val="en-GB"/>
              </w:rPr>
              <w:t>peritoneo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, non </w:t>
            </w:r>
            <w:proofErr w:type="spellStart"/>
            <w:r>
              <w:rPr>
                <w:rFonts w:ascii="Calibri" w:hAnsi="Calibri" w:cs="Calibri"/>
                <w:lang w:val="en-GB"/>
              </w:rPr>
              <w:t>candidabili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ad un </w:t>
            </w:r>
            <w:proofErr w:type="spellStart"/>
            <w:r>
              <w:rPr>
                <w:rFonts w:ascii="Calibri" w:hAnsi="Calibri" w:cs="Calibri"/>
                <w:lang w:val="en-GB"/>
              </w:rPr>
              <w:t>trattamento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a base di </w:t>
            </w:r>
            <w:proofErr w:type="spellStart"/>
            <w:r>
              <w:rPr>
                <w:rFonts w:ascii="Calibri" w:hAnsi="Calibri" w:cs="Calibri"/>
                <w:lang w:val="en-GB"/>
              </w:rPr>
              <w:t>platino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, in </w:t>
            </w:r>
            <w:proofErr w:type="spellStart"/>
            <w:r>
              <w:rPr>
                <w:rFonts w:ascii="Calibri" w:hAnsi="Calibri" w:cs="Calibri"/>
                <w:lang w:val="en-GB"/>
              </w:rPr>
              <w:t>particolare</w:t>
            </w:r>
            <w:proofErr w:type="spellEnd"/>
            <w:r w:rsidRPr="00BB13B9">
              <w:rPr>
                <w:rFonts w:ascii="Calibri" w:hAnsi="Calibri" w:cs="Calibri"/>
                <w:lang w:val="en-GB"/>
              </w:rPr>
              <w:t>:</w:t>
            </w:r>
          </w:p>
          <w:p w14:paraId="40A49C3C" w14:textId="77777777" w:rsidR="009C55ED" w:rsidRPr="00E80026" w:rsidRDefault="009C55ED" w:rsidP="009C55ED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Calibri" w:hAnsi="Calibri" w:cs="Calibri"/>
                <w:lang w:val="en-GB"/>
              </w:rPr>
            </w:pPr>
            <w:proofErr w:type="spellStart"/>
            <w:r w:rsidRPr="00E80026">
              <w:rPr>
                <w:rFonts w:ascii="Calibri" w:hAnsi="Calibri" w:cs="Calibri"/>
                <w:lang w:val="en-GB"/>
              </w:rPr>
              <w:t>pazienti</w:t>
            </w:r>
            <w:proofErr w:type="spellEnd"/>
            <w:r w:rsidRPr="00E8002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E80026">
              <w:rPr>
                <w:rFonts w:ascii="Calibri" w:hAnsi="Calibri" w:cs="Calibri"/>
                <w:lang w:val="en-GB"/>
              </w:rPr>
              <w:t>resistenti</w:t>
            </w:r>
            <w:proofErr w:type="spellEnd"/>
            <w:r w:rsidRPr="00E80026">
              <w:rPr>
                <w:rFonts w:ascii="Calibri" w:hAnsi="Calibri" w:cs="Calibri"/>
                <w:lang w:val="en-GB"/>
              </w:rPr>
              <w:t xml:space="preserve"> al </w:t>
            </w:r>
            <w:proofErr w:type="spellStart"/>
            <w:r w:rsidRPr="00E80026">
              <w:rPr>
                <w:rFonts w:ascii="Calibri" w:hAnsi="Calibri" w:cs="Calibri"/>
                <w:lang w:val="en-GB"/>
              </w:rPr>
              <w:t>platino</w:t>
            </w:r>
            <w:proofErr w:type="spellEnd"/>
            <w:r w:rsidRPr="00E80026">
              <w:rPr>
                <w:rFonts w:ascii="Calibri" w:hAnsi="Calibri" w:cs="Calibri"/>
                <w:lang w:val="en-GB"/>
              </w:rPr>
              <w:t xml:space="preserve"> (platinum-free interval 1-6 </w:t>
            </w:r>
            <w:proofErr w:type="spellStart"/>
            <w:r w:rsidRPr="00E80026">
              <w:rPr>
                <w:rFonts w:ascii="Calibri" w:hAnsi="Calibri" w:cs="Calibri"/>
                <w:lang w:val="en-GB"/>
              </w:rPr>
              <w:t>mesi</w:t>
            </w:r>
            <w:proofErr w:type="spellEnd"/>
            <w:r w:rsidRPr="00E8002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dalla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prima</w:t>
            </w:r>
            <w:r w:rsidRPr="00E80026">
              <w:rPr>
                <w:rFonts w:ascii="Calibri" w:hAnsi="Calibri" w:cs="Calibri"/>
                <w:lang w:val="en-GB"/>
              </w:rPr>
              <w:t xml:space="preserve"> dose di </w:t>
            </w:r>
            <w:proofErr w:type="spellStart"/>
            <w:r w:rsidRPr="00E80026">
              <w:rPr>
                <w:rFonts w:ascii="Calibri" w:hAnsi="Calibri" w:cs="Calibri"/>
                <w:lang w:val="en-GB"/>
              </w:rPr>
              <w:t>platino</w:t>
            </w:r>
            <w:proofErr w:type="spellEnd"/>
            <w:r w:rsidRPr="00E80026">
              <w:rPr>
                <w:rFonts w:ascii="Calibri" w:hAnsi="Calibri" w:cs="Calibri"/>
                <w:lang w:val="en-GB"/>
              </w:rPr>
              <w:t>)</w:t>
            </w:r>
          </w:p>
          <w:p w14:paraId="060A842A" w14:textId="77777777" w:rsidR="009C55ED" w:rsidRPr="00E80026" w:rsidRDefault="009C55ED" w:rsidP="009C55ED">
            <w:pPr>
              <w:pStyle w:val="Paragrafoelenco"/>
              <w:widowControl w:val="0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Calibri" w:hAnsi="Calibri" w:cs="Calibri"/>
                <w:lang w:val="en-GB"/>
              </w:rPr>
            </w:pPr>
            <w:proofErr w:type="spellStart"/>
            <w:r w:rsidRPr="00E80026">
              <w:rPr>
                <w:rFonts w:ascii="Calibri" w:hAnsi="Calibri" w:cs="Calibri"/>
                <w:lang w:val="en-GB"/>
              </w:rPr>
              <w:t>pazienti</w:t>
            </w:r>
            <w:proofErr w:type="spellEnd"/>
            <w:r w:rsidRPr="00E80026">
              <w:rPr>
                <w:rFonts w:ascii="Calibri" w:hAnsi="Calibri" w:cs="Calibri"/>
                <w:lang w:val="en-GB"/>
              </w:rPr>
              <w:t xml:space="preserve"> per cui la </w:t>
            </w:r>
            <w:proofErr w:type="spellStart"/>
            <w:r w:rsidRPr="00E80026">
              <w:rPr>
                <w:rFonts w:ascii="Calibri" w:hAnsi="Calibri" w:cs="Calibri"/>
                <w:lang w:val="en-GB"/>
              </w:rPr>
              <w:t>somministrazione</w:t>
            </w:r>
            <w:proofErr w:type="spellEnd"/>
            <w:r w:rsidRPr="00E80026">
              <w:rPr>
                <w:rFonts w:ascii="Calibri" w:hAnsi="Calibri" w:cs="Calibri"/>
                <w:lang w:val="en-GB"/>
              </w:rPr>
              <w:t xml:space="preserve"> di </w:t>
            </w:r>
            <w:proofErr w:type="spellStart"/>
            <w:r w:rsidRPr="00E80026">
              <w:rPr>
                <w:rFonts w:ascii="Calibri" w:hAnsi="Calibri" w:cs="Calibri"/>
                <w:lang w:val="en-GB"/>
              </w:rPr>
              <w:t>platino</w:t>
            </w:r>
            <w:proofErr w:type="spellEnd"/>
            <w:r w:rsidRPr="00E80026">
              <w:rPr>
                <w:rFonts w:ascii="Calibri" w:hAnsi="Calibri" w:cs="Calibri"/>
                <w:lang w:val="en-GB"/>
              </w:rPr>
              <w:t xml:space="preserve"> è </w:t>
            </w:r>
            <w:proofErr w:type="spellStart"/>
            <w:r w:rsidRPr="00E80026">
              <w:rPr>
                <w:rFonts w:ascii="Calibri" w:hAnsi="Calibri" w:cs="Calibri"/>
                <w:lang w:val="en-GB"/>
              </w:rPr>
              <w:t>controindicata</w:t>
            </w:r>
            <w:proofErr w:type="spellEnd"/>
            <w:r w:rsidRPr="00E80026">
              <w:rPr>
                <w:rFonts w:ascii="Calibri" w:hAnsi="Calibri" w:cs="Calibri"/>
                <w:lang w:val="en-GB"/>
              </w:rPr>
              <w:t xml:space="preserve"> a causa di </w:t>
            </w:r>
            <w:proofErr w:type="spellStart"/>
            <w:r w:rsidRPr="00E80026">
              <w:rPr>
                <w:rFonts w:ascii="Calibri" w:hAnsi="Calibri" w:cs="Calibri"/>
                <w:lang w:val="en-GB"/>
              </w:rPr>
              <w:t>precedenti</w:t>
            </w:r>
            <w:proofErr w:type="spellEnd"/>
            <w:r w:rsidRPr="00E8002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E80026">
              <w:rPr>
                <w:rFonts w:ascii="Calibri" w:hAnsi="Calibri" w:cs="Calibri"/>
                <w:lang w:val="en-GB"/>
              </w:rPr>
              <w:t>reazioni</w:t>
            </w:r>
            <w:proofErr w:type="spellEnd"/>
            <w:r w:rsidRPr="00E8002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E80026">
              <w:rPr>
                <w:rFonts w:ascii="Calibri" w:hAnsi="Calibri" w:cs="Calibri"/>
                <w:lang w:val="en-GB"/>
              </w:rPr>
              <w:t>allergiche</w:t>
            </w:r>
            <w:proofErr w:type="spellEnd"/>
            <w:r w:rsidRPr="00E80026">
              <w:rPr>
                <w:rFonts w:ascii="Calibri" w:hAnsi="Calibri" w:cs="Calibri"/>
                <w:lang w:val="en-GB"/>
              </w:rPr>
              <w:t xml:space="preserve"> o </w:t>
            </w:r>
            <w:proofErr w:type="spellStart"/>
            <w:r w:rsidRPr="00E80026">
              <w:rPr>
                <w:rFonts w:ascii="Calibri" w:hAnsi="Calibri" w:cs="Calibri"/>
                <w:lang w:val="en-GB"/>
              </w:rPr>
              <w:t>tossicità</w:t>
            </w:r>
            <w:proofErr w:type="spellEnd"/>
            <w:r w:rsidRPr="00E80026">
              <w:rPr>
                <w:rFonts w:ascii="Calibri" w:hAnsi="Calibri" w:cs="Calibri"/>
                <w:lang w:val="en-GB"/>
              </w:rPr>
              <w:t xml:space="preserve"> (</w:t>
            </w:r>
            <w:r>
              <w:rPr>
                <w:rFonts w:ascii="Calibri" w:hAnsi="Calibri" w:cs="Calibri"/>
                <w:lang w:val="en-GB"/>
              </w:rPr>
              <w:t xml:space="preserve">per </w:t>
            </w:r>
            <w:proofErr w:type="spellStart"/>
            <w:r>
              <w:rPr>
                <w:rFonts w:ascii="Calibri" w:hAnsi="Calibri" w:cs="Calibri"/>
                <w:lang w:val="en-GB"/>
              </w:rPr>
              <w:t>esempio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: </w:t>
            </w:r>
            <w:proofErr w:type="spellStart"/>
            <w:r w:rsidRPr="008D0B46">
              <w:rPr>
                <w:rFonts w:ascii="Calibri" w:hAnsi="Calibri" w:cs="Calibri"/>
                <w:lang w:val="en-GB"/>
              </w:rPr>
              <w:t>disturbi</w:t>
            </w:r>
            <w:proofErr w:type="spellEnd"/>
            <w:r w:rsidRPr="008D0B4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8D0B46">
              <w:rPr>
                <w:rFonts w:ascii="Calibri" w:hAnsi="Calibri" w:cs="Calibri"/>
                <w:lang w:val="en-GB"/>
              </w:rPr>
              <w:t>gastrointestinali</w:t>
            </w:r>
            <w:proofErr w:type="spellEnd"/>
            <w:r w:rsidRPr="008D0B46">
              <w:rPr>
                <w:rFonts w:ascii="Calibri" w:hAnsi="Calibri" w:cs="Calibri"/>
                <w:lang w:val="en-GB"/>
              </w:rPr>
              <w:t xml:space="preserve">, clearance </w:t>
            </w:r>
            <w:proofErr w:type="spellStart"/>
            <w:r w:rsidRPr="008D0B46">
              <w:rPr>
                <w:rFonts w:ascii="Calibri" w:hAnsi="Calibri" w:cs="Calibri"/>
                <w:lang w:val="en-GB"/>
              </w:rPr>
              <w:t>renale</w:t>
            </w:r>
            <w:proofErr w:type="spellEnd"/>
            <w:r w:rsidRPr="008D0B4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8D0B46">
              <w:rPr>
                <w:rFonts w:ascii="Calibri" w:hAnsi="Calibri" w:cs="Calibri"/>
                <w:lang w:val="en-GB"/>
              </w:rPr>
              <w:t>della</w:t>
            </w:r>
            <w:proofErr w:type="spellEnd"/>
            <w:r w:rsidRPr="008D0B4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8D0B46">
              <w:rPr>
                <w:rFonts w:ascii="Calibri" w:hAnsi="Calibri" w:cs="Calibri"/>
                <w:lang w:val="en-GB"/>
              </w:rPr>
              <w:t>creatinina</w:t>
            </w:r>
            <w:proofErr w:type="spellEnd"/>
            <w:r w:rsidRPr="008D0B4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8D0B46">
              <w:rPr>
                <w:rFonts w:ascii="Calibri" w:hAnsi="Calibri" w:cs="Calibri"/>
                <w:lang w:val="en-GB"/>
              </w:rPr>
              <w:t>ridotta</w:t>
            </w:r>
            <w:proofErr w:type="spellEnd"/>
            <w:r w:rsidRPr="008D0B46">
              <w:rPr>
                <w:rFonts w:ascii="Calibri" w:hAnsi="Calibri" w:cs="Calibri"/>
                <w:lang w:val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val="en-GB"/>
              </w:rPr>
              <w:t>alti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livelli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di </w:t>
            </w:r>
            <w:r w:rsidRPr="008D0B46">
              <w:rPr>
                <w:rFonts w:ascii="Calibri" w:hAnsi="Calibri" w:cs="Calibri"/>
                <w:lang w:val="en-GB"/>
              </w:rPr>
              <w:t xml:space="preserve">urea, </w:t>
            </w:r>
            <w:proofErr w:type="spellStart"/>
            <w:r w:rsidRPr="008D0B46">
              <w:rPr>
                <w:rFonts w:ascii="Calibri" w:hAnsi="Calibri" w:cs="Calibri"/>
                <w:lang w:val="en-GB"/>
              </w:rPr>
              <w:t>fosfatasi</w:t>
            </w:r>
            <w:proofErr w:type="spellEnd"/>
            <w:r w:rsidRPr="008D0B4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8D0B46">
              <w:rPr>
                <w:rFonts w:ascii="Calibri" w:hAnsi="Calibri" w:cs="Calibri"/>
                <w:lang w:val="en-GB"/>
              </w:rPr>
              <w:t>alcalina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e</w:t>
            </w:r>
            <w:r w:rsidRPr="008D0B4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8D0B46">
              <w:rPr>
                <w:rFonts w:ascii="Calibri" w:hAnsi="Calibri" w:cs="Calibri"/>
                <w:lang w:val="en-GB"/>
              </w:rPr>
              <w:t>aspartato</w:t>
            </w:r>
            <w:proofErr w:type="spellEnd"/>
            <w:r w:rsidRPr="008D0B4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8D0B46">
              <w:rPr>
                <w:rFonts w:ascii="Calibri" w:hAnsi="Calibri" w:cs="Calibri"/>
                <w:lang w:val="en-GB"/>
              </w:rPr>
              <w:t>aminotransferasi</w:t>
            </w:r>
            <w:proofErr w:type="spellEnd"/>
            <w:r w:rsidRPr="008D0B4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nel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sange</w:t>
            </w:r>
            <w:proofErr w:type="spellEnd"/>
            <w:r w:rsidRPr="008D0B46">
              <w:rPr>
                <w:rFonts w:ascii="Calibri" w:hAnsi="Calibri" w:cs="Calibri"/>
                <w:lang w:val="en-GB"/>
              </w:rPr>
              <w:t xml:space="preserve">, test di </w:t>
            </w:r>
            <w:proofErr w:type="spellStart"/>
            <w:r w:rsidRPr="008D0B46">
              <w:rPr>
                <w:rFonts w:ascii="Calibri" w:hAnsi="Calibri" w:cs="Calibri"/>
                <w:lang w:val="en-GB"/>
              </w:rPr>
              <w:t>funzionalità</w:t>
            </w:r>
            <w:proofErr w:type="spellEnd"/>
            <w:r w:rsidRPr="008D0B4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8D0B46">
              <w:rPr>
                <w:rFonts w:ascii="Calibri" w:hAnsi="Calibri" w:cs="Calibri"/>
                <w:lang w:val="en-GB"/>
              </w:rPr>
              <w:t>epatica</w:t>
            </w:r>
            <w:proofErr w:type="spellEnd"/>
            <w:r w:rsidRPr="008D0B4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8D0B46">
              <w:rPr>
                <w:rFonts w:ascii="Calibri" w:hAnsi="Calibri" w:cs="Calibri"/>
                <w:lang w:val="en-GB"/>
              </w:rPr>
              <w:t>alterati</w:t>
            </w:r>
            <w:proofErr w:type="spellEnd"/>
            <w:r w:rsidRPr="008D0B46">
              <w:rPr>
                <w:rFonts w:ascii="Calibri" w:hAnsi="Calibri" w:cs="Calibri"/>
                <w:lang w:val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val="en-GB"/>
              </w:rPr>
              <w:t>bassi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livelli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ematici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lang w:val="en-GB"/>
              </w:rPr>
              <w:t>sodio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val="en-GB"/>
              </w:rPr>
              <w:t>potassio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val="en-GB"/>
              </w:rPr>
              <w:t>calcio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lang w:val="en-GB"/>
              </w:rPr>
              <w:t>magnesio</w:t>
            </w:r>
            <w:proofErr w:type="spellEnd"/>
            <w:r w:rsidRPr="008D0B46">
              <w:rPr>
                <w:rFonts w:ascii="Calibri" w:hAnsi="Calibri" w:cs="Calibri"/>
                <w:lang w:val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val="en-GB"/>
              </w:rPr>
              <w:t>alti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livelli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ematici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di </w:t>
            </w:r>
            <w:proofErr w:type="spellStart"/>
            <w:r w:rsidRPr="008D0B46">
              <w:rPr>
                <w:rFonts w:ascii="Calibri" w:hAnsi="Calibri" w:cs="Calibri"/>
                <w:lang w:val="en-GB"/>
              </w:rPr>
              <w:t>bilirubina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val="en-GB"/>
              </w:rPr>
              <w:t>creatinina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lang w:val="en-GB"/>
              </w:rPr>
              <w:t>acido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urico</w:t>
            </w:r>
            <w:proofErr w:type="spellEnd"/>
            <w:r w:rsidRPr="008D0B46">
              <w:rPr>
                <w:rFonts w:ascii="Calibri" w:hAnsi="Calibri" w:cs="Calibri"/>
                <w:lang w:val="en-GB"/>
              </w:rPr>
              <w:t>)</w:t>
            </w:r>
          </w:p>
          <w:p w14:paraId="5C7CF4FB" w14:textId="77777777" w:rsidR="009C55ED" w:rsidRPr="00E80026" w:rsidRDefault="009C55ED" w:rsidP="009C55ED">
            <w:pPr>
              <w:widowControl w:val="0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Calibri" w:hAnsi="Calibri" w:cs="Calibri"/>
                <w:lang w:val="en-GB"/>
              </w:rPr>
            </w:pPr>
            <w:r w:rsidRPr="00E80026">
              <w:rPr>
                <w:rFonts w:ascii="Calibri" w:hAnsi="Calibri" w:cs="Calibri"/>
                <w:lang w:val="en-GB"/>
              </w:rPr>
              <w:t>Eastern Cooperative Oncology</w:t>
            </w:r>
            <w:r w:rsidRPr="00E80026"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Pr="00E80026">
              <w:rPr>
                <w:rFonts w:ascii="Calibri" w:hAnsi="Calibri" w:cs="Calibri"/>
                <w:lang w:val="en-GB"/>
              </w:rPr>
              <w:t xml:space="preserve">Group (ECOG) performance </w:t>
            </w:r>
            <w:r w:rsidRPr="00E80026">
              <w:rPr>
                <w:rFonts w:ascii="Calibri" w:hAnsi="Calibri" w:cs="Calibri"/>
                <w:lang w:val="en-GB"/>
              </w:rPr>
              <w:lastRenderedPageBreak/>
              <w:t>status ≤ 1;</w:t>
            </w:r>
          </w:p>
          <w:p w14:paraId="40CF2417" w14:textId="611F3320" w:rsidR="009C55ED" w:rsidRPr="009C55ED" w:rsidRDefault="009C55ED" w:rsidP="009C55ED">
            <w:pPr>
              <w:pStyle w:val="Paragrafoelenco"/>
              <w:widowControl w:val="0"/>
              <w:numPr>
                <w:ilvl w:val="0"/>
                <w:numId w:val="7"/>
              </w:numPr>
              <w:spacing w:line="360" w:lineRule="auto"/>
              <w:jc w:val="both"/>
              <w:rPr>
                <w:rFonts w:ascii="Calibri" w:hAnsi="Calibri" w:cs="Calibri"/>
                <w:lang w:val="en-GB"/>
              </w:rPr>
            </w:pPr>
            <w:proofErr w:type="spellStart"/>
            <w:r w:rsidRPr="009C55ED">
              <w:rPr>
                <w:rFonts w:ascii="Calibri" w:hAnsi="Calibri" w:cs="Calibri"/>
                <w:lang w:val="en-GB"/>
              </w:rPr>
              <w:t>Malattia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misurabile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o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valutabile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, secondo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i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criteri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RECIST 1.1 (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pazienti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che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mostrano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solo un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incremento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del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valore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di CA 125,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senza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evidenza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di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malattia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, non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sono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includibili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>);</w:t>
            </w:r>
          </w:p>
          <w:p w14:paraId="65378765" w14:textId="77777777" w:rsidR="009C55ED" w:rsidRDefault="009C55ED" w:rsidP="009C55ED">
            <w:pPr>
              <w:widowControl w:val="0"/>
              <w:spacing w:line="360" w:lineRule="auto"/>
              <w:ind w:left="749" w:hanging="425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4.    </w:t>
            </w:r>
            <w:proofErr w:type="spellStart"/>
            <w:r>
              <w:rPr>
                <w:rFonts w:ascii="Calibri" w:hAnsi="Calibri" w:cs="Calibri"/>
                <w:lang w:val="en-GB"/>
              </w:rPr>
              <w:t>Pazienti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lang w:val="en-GB"/>
              </w:rPr>
              <w:t>età</w:t>
            </w:r>
            <w:proofErr w:type="spellEnd"/>
            <w:r w:rsidRPr="00BB13B9">
              <w:rPr>
                <w:rFonts w:ascii="Calibri" w:hAnsi="Calibri" w:cs="Calibri"/>
                <w:lang w:val="en-GB"/>
              </w:rPr>
              <w:t xml:space="preserve"> ≥ 18 </w:t>
            </w:r>
          </w:p>
          <w:p w14:paraId="1E52135F" w14:textId="77777777" w:rsidR="009C55ED" w:rsidRDefault="009C55ED" w:rsidP="009C55ED">
            <w:pPr>
              <w:widowControl w:val="0"/>
              <w:spacing w:line="360" w:lineRule="auto"/>
              <w:ind w:left="749" w:hanging="425"/>
              <w:jc w:val="both"/>
              <w:rPr>
                <w:rFonts w:ascii="Calibri" w:hAnsi="Calibri" w:cs="Calibri"/>
                <w:lang w:val="en-GB"/>
              </w:rPr>
            </w:pPr>
            <w:r w:rsidRPr="00BB13B9">
              <w:rPr>
                <w:rFonts w:ascii="Calibri" w:hAnsi="Calibri" w:cs="Calibri"/>
                <w:lang w:val="en-GB"/>
              </w:rPr>
              <w:t xml:space="preserve">5. </w:t>
            </w:r>
            <w:r>
              <w:rPr>
                <w:rFonts w:ascii="Calibri" w:hAnsi="Calibri" w:cs="Calibri"/>
                <w:lang w:val="en-GB"/>
              </w:rPr>
              <w:t xml:space="preserve">  </w:t>
            </w:r>
            <w:proofErr w:type="spellStart"/>
            <w:r>
              <w:rPr>
                <w:rFonts w:ascii="Calibri" w:hAnsi="Calibri" w:cs="Calibri"/>
                <w:lang w:val="en-GB"/>
              </w:rPr>
              <w:t>Adeguata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funzionalità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d’organo</w:t>
            </w:r>
            <w:proofErr w:type="spellEnd"/>
            <w:r>
              <w:rPr>
                <w:rFonts w:ascii="Calibri" w:hAnsi="Calibri" w:cs="Calibri"/>
                <w:lang w:val="en-GB"/>
              </w:rPr>
              <w:t>, definite come</w:t>
            </w:r>
            <w:r w:rsidRPr="00BB13B9">
              <w:rPr>
                <w:rFonts w:ascii="Calibri" w:hAnsi="Calibri" w:cs="Calibri"/>
                <w:lang w:val="en-GB"/>
              </w:rPr>
              <w:t>:</w:t>
            </w:r>
          </w:p>
          <w:p w14:paraId="4DBDE9A5" w14:textId="77777777" w:rsidR="009C55ED" w:rsidRDefault="009C55ED" w:rsidP="009C55ED">
            <w:pPr>
              <w:widowControl w:val="0"/>
              <w:spacing w:after="0" w:line="360" w:lineRule="auto"/>
              <w:ind w:left="720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ANC</w:t>
            </w:r>
            <w:r w:rsidRPr="00BB13B9">
              <w:rPr>
                <w:rFonts w:ascii="Calibri" w:hAnsi="Calibri" w:cs="Calibri"/>
                <w:lang w:val="en-GB"/>
              </w:rPr>
              <w:t xml:space="preserve"> ≥ 1,500/µL</w:t>
            </w:r>
          </w:p>
          <w:p w14:paraId="09B93962" w14:textId="77777777" w:rsidR="009C55ED" w:rsidRDefault="009C55ED" w:rsidP="009C55ED">
            <w:pPr>
              <w:widowControl w:val="0"/>
              <w:spacing w:after="0" w:line="360" w:lineRule="auto"/>
              <w:ind w:left="720"/>
              <w:jc w:val="both"/>
              <w:rPr>
                <w:rFonts w:ascii="Calibri" w:hAnsi="Calibri" w:cs="Calibri"/>
                <w:lang w:val="en-GB"/>
              </w:rPr>
            </w:pPr>
            <w:proofErr w:type="spellStart"/>
            <w:r w:rsidRPr="00055EFE">
              <w:rPr>
                <w:rFonts w:ascii="Calibri" w:hAnsi="Calibri" w:cs="Calibri"/>
                <w:lang w:val="en-GB"/>
              </w:rPr>
              <w:t>P</w:t>
            </w:r>
            <w:r>
              <w:rPr>
                <w:rFonts w:ascii="Calibri" w:hAnsi="Calibri" w:cs="Calibri"/>
                <w:lang w:val="en-GB"/>
              </w:rPr>
              <w:t>iastrine</w:t>
            </w:r>
            <w:proofErr w:type="spellEnd"/>
            <w:r w:rsidRPr="00055EFE">
              <w:rPr>
                <w:rFonts w:ascii="Calibri" w:hAnsi="Calibri" w:cs="Calibri"/>
                <w:lang w:val="en-GB"/>
              </w:rPr>
              <w:t xml:space="preserve"> ≥ 100,000/µL</w:t>
            </w:r>
          </w:p>
          <w:p w14:paraId="21DB214C" w14:textId="77777777" w:rsidR="009C55ED" w:rsidRDefault="009C55ED" w:rsidP="009C55ED">
            <w:pPr>
              <w:widowControl w:val="0"/>
              <w:spacing w:after="0" w:line="360" w:lineRule="auto"/>
              <w:ind w:left="720"/>
              <w:jc w:val="both"/>
              <w:rPr>
                <w:rFonts w:ascii="Calibri" w:hAnsi="Calibri" w:cs="Calibri"/>
                <w:lang w:val="en-GB"/>
              </w:rPr>
            </w:pPr>
            <w:proofErr w:type="spellStart"/>
            <w:r>
              <w:rPr>
                <w:rFonts w:ascii="Calibri" w:hAnsi="Calibri" w:cs="Calibri"/>
                <w:lang w:val="en-GB"/>
              </w:rPr>
              <w:t>Emoglobina</w:t>
            </w:r>
            <w:proofErr w:type="spellEnd"/>
            <w:r w:rsidRPr="00055EFE">
              <w:rPr>
                <w:rFonts w:ascii="Calibri" w:hAnsi="Calibri" w:cs="Calibri"/>
                <w:lang w:val="en-GB"/>
              </w:rPr>
              <w:t xml:space="preserve"> ≥ 9 g/</w:t>
            </w:r>
            <w:proofErr w:type="spellStart"/>
            <w:r w:rsidRPr="00055EFE">
              <w:rPr>
                <w:rFonts w:ascii="Calibri" w:hAnsi="Calibri" w:cs="Calibri"/>
                <w:lang w:val="en-GB"/>
              </w:rPr>
              <w:t>dL</w:t>
            </w:r>
            <w:proofErr w:type="spellEnd"/>
          </w:p>
          <w:p w14:paraId="6E991907" w14:textId="77777777" w:rsidR="009C55ED" w:rsidRDefault="009C55ED" w:rsidP="009C55ED">
            <w:pPr>
              <w:widowControl w:val="0"/>
              <w:spacing w:after="0" w:line="360" w:lineRule="auto"/>
              <w:ind w:left="720"/>
              <w:jc w:val="both"/>
              <w:rPr>
                <w:rFonts w:ascii="Calibri" w:hAnsi="Calibri" w:cs="Calibri"/>
                <w:lang w:val="en-GB"/>
              </w:rPr>
            </w:pPr>
            <w:proofErr w:type="spellStart"/>
            <w:r>
              <w:rPr>
                <w:rFonts w:ascii="Calibri" w:hAnsi="Calibri" w:cs="Calibri"/>
                <w:lang w:val="en-GB"/>
              </w:rPr>
              <w:t>Creatinina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sierica</w:t>
            </w:r>
            <w:proofErr w:type="spellEnd"/>
            <w:r w:rsidRPr="00055EFE">
              <w:rPr>
                <w:rFonts w:ascii="Calibri" w:hAnsi="Calibri" w:cs="Calibri"/>
                <w:lang w:val="en-GB"/>
              </w:rPr>
              <w:t xml:space="preserve"> ≤ 1.5 x </w:t>
            </w:r>
            <w:r w:rsidRPr="00DE5199">
              <w:rPr>
                <w:rFonts w:ascii="Calibri" w:hAnsi="Calibri" w:cs="Calibri"/>
                <w:i/>
                <w:iCs/>
                <w:lang w:val="en-GB"/>
              </w:rPr>
              <w:t>upper limit of normal</w:t>
            </w:r>
            <w:r w:rsidRPr="00055EFE">
              <w:rPr>
                <w:rFonts w:ascii="Calibri" w:hAnsi="Calibri" w:cs="Calibri"/>
                <w:lang w:val="en-GB"/>
              </w:rPr>
              <w:t xml:space="preserve"> (ULN) </w:t>
            </w:r>
            <w:r>
              <w:rPr>
                <w:rFonts w:ascii="Calibri" w:hAnsi="Calibri" w:cs="Calibri"/>
                <w:lang w:val="en-GB"/>
              </w:rPr>
              <w:t xml:space="preserve">o </w:t>
            </w:r>
            <w:proofErr w:type="spellStart"/>
            <w:r>
              <w:rPr>
                <w:rFonts w:ascii="Calibri" w:hAnsi="Calibri" w:cs="Calibri"/>
                <w:lang w:val="en-GB"/>
              </w:rPr>
              <w:t>calcolo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della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clearance </w:t>
            </w:r>
            <w:proofErr w:type="spellStart"/>
            <w:r>
              <w:rPr>
                <w:rFonts w:ascii="Calibri" w:hAnsi="Calibri" w:cs="Calibri"/>
                <w:lang w:val="en-GB"/>
              </w:rPr>
              <w:t>della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creatinina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055EFE">
              <w:rPr>
                <w:rFonts w:ascii="Calibri" w:hAnsi="Calibri" w:cs="Calibri"/>
                <w:lang w:val="en-GB"/>
              </w:rPr>
              <w:t xml:space="preserve">≥ 60mL/min </w:t>
            </w:r>
            <w:proofErr w:type="spellStart"/>
            <w:r>
              <w:rPr>
                <w:rFonts w:ascii="Calibri" w:hAnsi="Calibri" w:cs="Calibri"/>
                <w:lang w:val="en-GB"/>
              </w:rPr>
              <w:t>usando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l’equazione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055EFE">
              <w:rPr>
                <w:rFonts w:ascii="Calibri" w:hAnsi="Calibri" w:cs="Calibri"/>
                <w:lang w:val="en-GB"/>
              </w:rPr>
              <w:t xml:space="preserve">Cockcroft-Gault </w:t>
            </w:r>
          </w:p>
          <w:p w14:paraId="02621922" w14:textId="77777777" w:rsidR="009C55ED" w:rsidRDefault="009C55ED" w:rsidP="009C55ED">
            <w:pPr>
              <w:widowControl w:val="0"/>
              <w:spacing w:after="0" w:line="360" w:lineRule="auto"/>
              <w:ind w:left="720"/>
              <w:jc w:val="both"/>
              <w:rPr>
                <w:rFonts w:ascii="Calibri" w:hAnsi="Calibri" w:cs="Calibri"/>
                <w:lang w:val="en-GB"/>
              </w:rPr>
            </w:pPr>
            <w:proofErr w:type="spellStart"/>
            <w:r>
              <w:rPr>
                <w:rFonts w:ascii="Calibri" w:hAnsi="Calibri" w:cs="Calibri"/>
                <w:lang w:val="en-GB"/>
              </w:rPr>
              <w:t>Bilirubina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totale</w:t>
            </w:r>
            <w:proofErr w:type="spellEnd"/>
            <w:r w:rsidRPr="00055EFE">
              <w:rPr>
                <w:rFonts w:ascii="Calibri" w:hAnsi="Calibri" w:cs="Calibri"/>
                <w:lang w:val="en-GB"/>
              </w:rPr>
              <w:t xml:space="preserve"> ≤ 1.5 x ULN (≤2.0 in </w:t>
            </w:r>
            <w:proofErr w:type="spellStart"/>
            <w:r>
              <w:rPr>
                <w:rFonts w:ascii="Calibri" w:hAnsi="Calibri" w:cs="Calibri"/>
                <w:lang w:val="en-GB"/>
              </w:rPr>
              <w:t>pazienti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lang w:val="en-GB"/>
              </w:rPr>
              <w:t>storia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nota di syndrome di </w:t>
            </w:r>
            <w:r w:rsidRPr="00055EFE">
              <w:rPr>
                <w:rFonts w:ascii="Calibri" w:hAnsi="Calibri" w:cs="Calibri"/>
                <w:lang w:val="en-GB"/>
              </w:rPr>
              <w:t xml:space="preserve">Gilberts) </w:t>
            </w:r>
            <w:r>
              <w:rPr>
                <w:rFonts w:ascii="Calibri" w:hAnsi="Calibri" w:cs="Calibri"/>
                <w:lang w:val="en-GB"/>
              </w:rPr>
              <w:t xml:space="preserve">o </w:t>
            </w:r>
            <w:proofErr w:type="spellStart"/>
            <w:r>
              <w:rPr>
                <w:rFonts w:ascii="Calibri" w:hAnsi="Calibri" w:cs="Calibri"/>
                <w:lang w:val="en-GB"/>
              </w:rPr>
              <w:t>bilirubila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diretta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055EFE">
              <w:rPr>
                <w:rFonts w:ascii="Calibri" w:hAnsi="Calibri" w:cs="Calibri"/>
                <w:lang w:val="en-GB"/>
              </w:rPr>
              <w:t>≤ 1 x ULN</w:t>
            </w:r>
          </w:p>
          <w:p w14:paraId="3B1338B3" w14:textId="77777777" w:rsidR="009C55ED" w:rsidRDefault="009C55ED" w:rsidP="009C55ED">
            <w:pPr>
              <w:widowControl w:val="0"/>
              <w:spacing w:after="0" w:line="360" w:lineRule="auto"/>
              <w:ind w:left="720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AST e ALT</w:t>
            </w:r>
            <w:r w:rsidRPr="00055EFE">
              <w:rPr>
                <w:rFonts w:ascii="Calibri" w:hAnsi="Calibri" w:cs="Calibri"/>
                <w:lang w:val="en-GB"/>
              </w:rPr>
              <w:t xml:space="preserve"> ≤ 2.5 x ULN</w:t>
            </w:r>
            <w:r>
              <w:rPr>
                <w:rFonts w:ascii="Calibri" w:hAnsi="Calibri" w:cs="Calibri"/>
                <w:lang w:val="en-GB"/>
              </w:rPr>
              <w:t xml:space="preserve">. </w:t>
            </w:r>
          </w:p>
          <w:p w14:paraId="06AA7D6B" w14:textId="26B9A59D" w:rsidR="009C55ED" w:rsidRDefault="009C55ED" w:rsidP="009C55ED">
            <w:pPr>
              <w:widowControl w:val="0"/>
              <w:spacing w:after="0" w:line="360" w:lineRule="auto"/>
              <w:ind w:left="720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In </w:t>
            </w:r>
            <w:proofErr w:type="spellStart"/>
            <w:r>
              <w:rPr>
                <w:rFonts w:ascii="Calibri" w:hAnsi="Calibri" w:cs="Calibri"/>
                <w:lang w:val="en-GB"/>
              </w:rPr>
              <w:t>pazienti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con </w:t>
            </w:r>
            <w:proofErr w:type="spellStart"/>
            <w:r>
              <w:rPr>
                <w:rFonts w:ascii="Calibri" w:hAnsi="Calibri" w:cs="Calibri"/>
                <w:lang w:val="en-GB"/>
              </w:rPr>
              <w:t>metastasi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epatiche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AST e ALT </w:t>
            </w:r>
            <w:r w:rsidRPr="00055EFE">
              <w:rPr>
                <w:rFonts w:ascii="Calibri" w:hAnsi="Calibri" w:cs="Calibri"/>
                <w:lang w:val="en-GB"/>
              </w:rPr>
              <w:t xml:space="preserve">≤ 5 x ULN </w:t>
            </w:r>
          </w:p>
          <w:p w14:paraId="3662AF78" w14:textId="77777777" w:rsidR="009C55ED" w:rsidRDefault="009C55ED" w:rsidP="00302BD6">
            <w:pPr>
              <w:widowControl w:val="0"/>
              <w:spacing w:after="0" w:line="360" w:lineRule="auto"/>
              <w:ind w:left="720"/>
              <w:jc w:val="both"/>
              <w:rPr>
                <w:rFonts w:ascii="Calibri" w:hAnsi="Calibri" w:cs="Calibri"/>
                <w:lang w:val="en-GB"/>
              </w:rPr>
            </w:pPr>
            <w:r w:rsidRPr="00DE5199">
              <w:rPr>
                <w:rFonts w:ascii="Calibri" w:hAnsi="Calibri" w:cs="Calibri"/>
                <w:lang w:val="en-GB"/>
              </w:rPr>
              <w:t xml:space="preserve">Rapporto </w:t>
            </w:r>
            <w:proofErr w:type="spellStart"/>
            <w:r w:rsidRPr="00DE5199">
              <w:rPr>
                <w:rFonts w:ascii="Calibri" w:hAnsi="Calibri" w:cs="Calibri"/>
                <w:lang w:val="en-GB"/>
              </w:rPr>
              <w:t>Internazionale</w:t>
            </w:r>
            <w:proofErr w:type="spellEnd"/>
            <w:r w:rsidRPr="00DE5199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DE5199">
              <w:rPr>
                <w:rFonts w:ascii="Calibri" w:hAnsi="Calibri" w:cs="Calibri"/>
                <w:lang w:val="en-GB"/>
              </w:rPr>
              <w:t>Normalizzato</w:t>
            </w:r>
            <w:proofErr w:type="spellEnd"/>
            <w:r w:rsidRPr="00055EFE">
              <w:rPr>
                <w:rFonts w:ascii="Calibri" w:hAnsi="Calibri" w:cs="Calibri"/>
                <w:lang w:val="en-GB"/>
              </w:rPr>
              <w:t xml:space="preserve"> (INR) o</w:t>
            </w:r>
            <w:r>
              <w:rPr>
                <w:rFonts w:ascii="Calibri" w:hAnsi="Calibri" w:cs="Calibri"/>
                <w:lang w:val="en-GB"/>
              </w:rPr>
              <w:t xml:space="preserve"> tempo di </w:t>
            </w:r>
            <w:proofErr w:type="spellStart"/>
            <w:r>
              <w:rPr>
                <w:rFonts w:ascii="Calibri" w:hAnsi="Calibri" w:cs="Calibri"/>
                <w:lang w:val="en-GB"/>
              </w:rPr>
              <w:t>protrombina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055EFE">
              <w:rPr>
                <w:rFonts w:ascii="Calibri" w:hAnsi="Calibri" w:cs="Calibri"/>
                <w:lang w:val="en-GB"/>
              </w:rPr>
              <w:t>(PT) ≤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055EFE">
              <w:rPr>
                <w:rFonts w:ascii="Calibri" w:hAnsi="Calibri" w:cs="Calibri"/>
                <w:lang w:val="en-GB"/>
              </w:rPr>
              <w:t>1.5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055EFE">
              <w:rPr>
                <w:rFonts w:ascii="Calibri" w:hAnsi="Calibri" w:cs="Calibri"/>
                <w:lang w:val="en-GB"/>
              </w:rPr>
              <w:t xml:space="preserve">× ULN </w:t>
            </w:r>
            <w:r>
              <w:rPr>
                <w:rFonts w:ascii="Calibri" w:hAnsi="Calibri" w:cs="Calibri"/>
                <w:lang w:val="en-GB"/>
              </w:rPr>
              <w:t xml:space="preserve">a </w:t>
            </w:r>
            <w:proofErr w:type="spellStart"/>
            <w:r>
              <w:rPr>
                <w:rFonts w:ascii="Calibri" w:hAnsi="Calibri" w:cs="Calibri"/>
                <w:lang w:val="en-GB"/>
              </w:rPr>
              <w:t>meno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che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la </w:t>
            </w:r>
            <w:proofErr w:type="spellStart"/>
            <w:r>
              <w:rPr>
                <w:rFonts w:ascii="Calibri" w:hAnsi="Calibri" w:cs="Calibri"/>
                <w:lang w:val="en-GB"/>
              </w:rPr>
              <w:t>paziente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gramStart"/>
            <w:r>
              <w:rPr>
                <w:rFonts w:ascii="Calibri" w:hAnsi="Calibri" w:cs="Calibri"/>
                <w:lang w:val="en-GB"/>
              </w:rPr>
              <w:t xml:space="preserve">non </w:t>
            </w:r>
            <w:proofErr w:type="spellStart"/>
            <w:r>
              <w:rPr>
                <w:rFonts w:ascii="Calibri" w:hAnsi="Calibri" w:cs="Calibri"/>
                <w:lang w:val="en-GB"/>
              </w:rPr>
              <w:t>stia</w:t>
            </w:r>
            <w:proofErr w:type="spellEnd"/>
            <w:proofErr w:type="gram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ricevendo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una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terapia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anticoagulante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fintanto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che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valori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di PT o PTT </w:t>
            </w:r>
            <w:proofErr w:type="spellStart"/>
            <w:r w:rsidRPr="008A6514">
              <w:rPr>
                <w:rFonts w:ascii="Calibri" w:hAnsi="Calibri" w:cs="Calibri"/>
                <w:lang w:val="en-GB"/>
              </w:rPr>
              <w:t>rientr</w:t>
            </w:r>
            <w:r>
              <w:rPr>
                <w:rFonts w:ascii="Calibri" w:hAnsi="Calibri" w:cs="Calibri"/>
                <w:lang w:val="en-GB"/>
              </w:rPr>
              <w:t>i</w:t>
            </w:r>
            <w:r w:rsidRPr="008A6514">
              <w:rPr>
                <w:rFonts w:ascii="Calibri" w:hAnsi="Calibri" w:cs="Calibri"/>
                <w:lang w:val="en-GB"/>
              </w:rPr>
              <w:t>no</w:t>
            </w:r>
            <w:proofErr w:type="spellEnd"/>
            <w:r w:rsidRPr="008A6514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8A6514">
              <w:rPr>
                <w:rFonts w:ascii="Calibri" w:hAnsi="Calibri" w:cs="Calibri"/>
                <w:lang w:val="en-GB"/>
              </w:rPr>
              <w:t>nell'intervallo</w:t>
            </w:r>
            <w:proofErr w:type="spellEnd"/>
            <w:r w:rsidRPr="008A6514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8A6514">
              <w:rPr>
                <w:rFonts w:ascii="Calibri" w:hAnsi="Calibri" w:cs="Calibri"/>
                <w:lang w:val="en-GB"/>
              </w:rPr>
              <w:t>terapeutico</w:t>
            </w:r>
            <w:proofErr w:type="spellEnd"/>
            <w:r w:rsidRPr="008A6514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8A6514">
              <w:rPr>
                <w:rFonts w:ascii="Calibri" w:hAnsi="Calibri" w:cs="Calibri"/>
                <w:lang w:val="en-GB"/>
              </w:rPr>
              <w:t>dell'uso</w:t>
            </w:r>
            <w:proofErr w:type="spellEnd"/>
            <w:r w:rsidRPr="008A6514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8A6514">
              <w:rPr>
                <w:rFonts w:ascii="Calibri" w:hAnsi="Calibri" w:cs="Calibri"/>
                <w:lang w:val="en-GB"/>
              </w:rPr>
              <w:t>previsto</w:t>
            </w:r>
            <w:proofErr w:type="spellEnd"/>
            <w:r w:rsidRPr="008A6514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8A6514">
              <w:rPr>
                <w:rFonts w:ascii="Calibri" w:hAnsi="Calibri" w:cs="Calibri"/>
                <w:lang w:val="en-GB"/>
              </w:rPr>
              <w:t>degli</w:t>
            </w:r>
            <w:proofErr w:type="spellEnd"/>
            <w:r w:rsidRPr="008A6514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8A6514">
              <w:rPr>
                <w:rFonts w:ascii="Calibri" w:hAnsi="Calibri" w:cs="Calibri"/>
                <w:lang w:val="en-GB"/>
              </w:rPr>
              <w:t>anticoagulanti</w:t>
            </w:r>
            <w:proofErr w:type="spellEnd"/>
            <w:r w:rsidRPr="008A6514">
              <w:rPr>
                <w:rFonts w:ascii="Calibri" w:hAnsi="Calibri" w:cs="Calibri"/>
                <w:lang w:val="en-GB"/>
              </w:rPr>
              <w:t>.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</w:p>
          <w:p w14:paraId="49C23603" w14:textId="77777777" w:rsidR="00302BD6" w:rsidRDefault="009C55ED" w:rsidP="00302BD6">
            <w:pPr>
              <w:widowControl w:val="0"/>
              <w:spacing w:after="0" w:line="360" w:lineRule="auto"/>
              <w:ind w:left="720"/>
              <w:jc w:val="both"/>
              <w:rPr>
                <w:rFonts w:ascii="Calibri" w:hAnsi="Calibri" w:cs="Calibri"/>
                <w:lang w:val="en-GB"/>
              </w:rPr>
            </w:pPr>
            <w:proofErr w:type="spellStart"/>
            <w:r w:rsidRPr="009C55ED">
              <w:rPr>
                <w:rFonts w:ascii="Calibri" w:hAnsi="Calibri" w:cs="Calibri"/>
                <w:lang w:val="en-GB"/>
              </w:rPr>
              <w:t>aPTT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≤1.5 × ULN a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meno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che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la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paziente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non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stia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ricevendo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una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terapia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anticoagulante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fintanto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che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i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valori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di PT o PTT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rientrino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nell'intervallo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terapeutico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dell'uso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previsto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degli</w:t>
            </w:r>
            <w:proofErr w:type="spellEnd"/>
            <w:r w:rsidRP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9C55ED">
              <w:rPr>
                <w:rFonts w:ascii="Calibri" w:hAnsi="Calibri" w:cs="Calibri"/>
                <w:lang w:val="en-GB"/>
              </w:rPr>
              <w:t>anticoagulanti</w:t>
            </w:r>
            <w:proofErr w:type="spellEnd"/>
          </w:p>
          <w:p w14:paraId="3C8797CC" w14:textId="291084C0" w:rsidR="009C55ED" w:rsidRPr="00BB13B9" w:rsidRDefault="00302BD6" w:rsidP="00302BD6">
            <w:pPr>
              <w:widowControl w:val="0"/>
              <w:spacing w:after="0" w:line="360" w:lineRule="auto"/>
              <w:ind w:left="723" w:hanging="425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6.  </w:t>
            </w:r>
            <w:r w:rsidR="009C55ED">
              <w:rPr>
                <w:rFonts w:ascii="Calibri" w:hAnsi="Calibri" w:cs="Calibri"/>
                <w:lang w:val="en-GB"/>
              </w:rPr>
              <w:t xml:space="preserve">Un’ </w:t>
            </w:r>
            <w:proofErr w:type="spellStart"/>
            <w:r w:rsidR="009C55ED">
              <w:rPr>
                <w:rFonts w:ascii="Calibri" w:hAnsi="Calibri" w:cs="Calibri"/>
                <w:lang w:val="en-GB"/>
              </w:rPr>
              <w:t>eventuale</w:t>
            </w:r>
            <w:proofErr w:type="spellEnd"/>
            <w:r w:rsidR="009C55ED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9C55ED" w:rsidRPr="006B1949">
              <w:rPr>
                <w:rFonts w:ascii="Calibri" w:hAnsi="Calibri" w:cs="Calibri"/>
                <w:lang w:val="en-GB"/>
              </w:rPr>
              <w:t>preesistente</w:t>
            </w:r>
            <w:proofErr w:type="spellEnd"/>
            <w:r w:rsidR="009C55ED" w:rsidRPr="006B1949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9C55ED" w:rsidRPr="006B1949">
              <w:rPr>
                <w:rFonts w:ascii="Calibri" w:hAnsi="Calibri" w:cs="Calibri"/>
                <w:lang w:val="en-GB"/>
              </w:rPr>
              <w:t>ipertensione</w:t>
            </w:r>
            <w:proofErr w:type="spellEnd"/>
            <w:r w:rsidR="009C55ED" w:rsidRPr="006B1949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9C55ED" w:rsidRPr="006B1949">
              <w:rPr>
                <w:rFonts w:ascii="Calibri" w:hAnsi="Calibri" w:cs="Calibri"/>
                <w:lang w:val="en-GB"/>
              </w:rPr>
              <w:t>deve</w:t>
            </w:r>
            <w:proofErr w:type="spellEnd"/>
            <w:r w:rsidR="009C55ED" w:rsidRPr="006B1949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9C55ED" w:rsidRPr="006B1949">
              <w:rPr>
                <w:rFonts w:ascii="Calibri" w:hAnsi="Calibri" w:cs="Calibri"/>
                <w:lang w:val="en-GB"/>
              </w:rPr>
              <w:t>essere</w:t>
            </w:r>
            <w:proofErr w:type="spellEnd"/>
            <w:r w:rsidR="009C55ED" w:rsidRPr="006B1949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9C55ED" w:rsidRPr="006B1949">
              <w:rPr>
                <w:rFonts w:ascii="Calibri" w:hAnsi="Calibri" w:cs="Calibri"/>
                <w:lang w:val="en-GB"/>
              </w:rPr>
              <w:t>adeguatamente</w:t>
            </w:r>
            <w:proofErr w:type="spellEnd"/>
            <w:r w:rsidR="009C55ED" w:rsidRPr="006B1949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9C55ED" w:rsidRPr="006B1949">
              <w:rPr>
                <w:rFonts w:ascii="Calibri" w:hAnsi="Calibri" w:cs="Calibri"/>
                <w:lang w:val="en-GB"/>
              </w:rPr>
              <w:t>controllata</w:t>
            </w:r>
            <w:proofErr w:type="spellEnd"/>
            <w:r w:rsidR="009C55ED" w:rsidRPr="006B1949">
              <w:rPr>
                <w:rFonts w:ascii="Calibri" w:hAnsi="Calibri" w:cs="Calibri"/>
                <w:lang w:val="en-GB"/>
              </w:rPr>
              <w:t xml:space="preserve"> prima di </w:t>
            </w:r>
            <w:proofErr w:type="spellStart"/>
            <w:r w:rsidR="009C55ED" w:rsidRPr="006B1949">
              <w:rPr>
                <w:rFonts w:ascii="Calibri" w:hAnsi="Calibri" w:cs="Calibri"/>
                <w:lang w:val="en-GB"/>
              </w:rPr>
              <w:t>iniziare</w:t>
            </w:r>
            <w:proofErr w:type="spellEnd"/>
            <w:r w:rsidR="009C55ED" w:rsidRPr="006B1949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9C55ED" w:rsidRPr="006B1949">
              <w:rPr>
                <w:rFonts w:ascii="Calibri" w:hAnsi="Calibri" w:cs="Calibri"/>
                <w:lang w:val="en-GB"/>
              </w:rPr>
              <w:t>il</w:t>
            </w:r>
            <w:proofErr w:type="spellEnd"/>
            <w:r w:rsidR="009C55ED" w:rsidRPr="006B1949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9C55ED" w:rsidRPr="006B1949">
              <w:rPr>
                <w:rFonts w:ascii="Calibri" w:hAnsi="Calibri" w:cs="Calibri"/>
                <w:lang w:val="en-GB"/>
              </w:rPr>
              <w:t>trattamento</w:t>
            </w:r>
            <w:proofErr w:type="spellEnd"/>
            <w:r w:rsidR="009C55ED" w:rsidRPr="006B1949">
              <w:rPr>
                <w:rFonts w:ascii="Calibri" w:hAnsi="Calibri" w:cs="Calibri"/>
                <w:lang w:val="en-GB"/>
              </w:rPr>
              <w:t xml:space="preserve"> con </w:t>
            </w:r>
            <w:proofErr w:type="spellStart"/>
            <w:r w:rsidR="009C55ED" w:rsidRPr="006B1949">
              <w:rPr>
                <w:rFonts w:ascii="Calibri" w:hAnsi="Calibri" w:cs="Calibri"/>
                <w:lang w:val="en-GB"/>
              </w:rPr>
              <w:t>niraparib</w:t>
            </w:r>
            <w:proofErr w:type="spellEnd"/>
            <w:r w:rsidR="009C55ED">
              <w:rPr>
                <w:rFonts w:ascii="Calibri" w:hAnsi="Calibri" w:cs="Calibri"/>
                <w:lang w:val="en-GB"/>
              </w:rPr>
              <w:t xml:space="preserve"> </w:t>
            </w:r>
          </w:p>
          <w:p w14:paraId="1E8C7B56" w14:textId="7DAD817F" w:rsidR="00302BD6" w:rsidRDefault="009C55ED" w:rsidP="00302BD6">
            <w:pPr>
              <w:widowControl w:val="0"/>
              <w:spacing w:line="360" w:lineRule="auto"/>
              <w:ind w:left="749" w:hanging="425"/>
              <w:jc w:val="both"/>
              <w:rPr>
                <w:rFonts w:ascii="Calibri" w:hAnsi="Calibri" w:cs="Calibri"/>
                <w:lang w:val="en-GB"/>
              </w:rPr>
            </w:pPr>
            <w:r w:rsidRPr="00BB13B9">
              <w:rPr>
                <w:rFonts w:ascii="Calibri" w:hAnsi="Calibri" w:cs="Calibri"/>
                <w:lang w:val="en-GB"/>
              </w:rPr>
              <w:t xml:space="preserve">7. </w:t>
            </w:r>
            <w:r>
              <w:rPr>
                <w:rFonts w:ascii="Calibri" w:hAnsi="Calibri" w:cs="Calibri"/>
                <w:lang w:val="en-GB"/>
              </w:rPr>
              <w:t xml:space="preserve"> Le </w:t>
            </w:r>
            <w:proofErr w:type="spellStart"/>
            <w:r>
              <w:rPr>
                <w:rFonts w:ascii="Calibri" w:hAnsi="Calibri" w:cs="Calibri"/>
                <w:lang w:val="en-GB"/>
              </w:rPr>
              <w:t>paz</w:t>
            </w:r>
            <w:r w:rsidR="00302BD6">
              <w:rPr>
                <w:rFonts w:ascii="Calibri" w:hAnsi="Calibri" w:cs="Calibri"/>
                <w:lang w:val="en-GB"/>
              </w:rPr>
              <w:t>ienti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devono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acconsentire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 xml:space="preserve"> a </w:t>
            </w:r>
            <w:proofErr w:type="gramStart"/>
            <w:r w:rsidR="00302BD6">
              <w:rPr>
                <w:rFonts w:ascii="Calibri" w:hAnsi="Calibri" w:cs="Calibri"/>
                <w:lang w:val="en-GB"/>
              </w:rPr>
              <w:t xml:space="preserve">non </w:t>
            </w:r>
            <w:proofErr w:type="spellStart"/>
            <w:r>
              <w:rPr>
                <w:rFonts w:ascii="Calibri" w:hAnsi="Calibri" w:cs="Calibri"/>
                <w:lang w:val="en-GB"/>
              </w:rPr>
              <w:t>donare</w:t>
            </w:r>
            <w:proofErr w:type="spellEnd"/>
            <w:proofErr w:type="gram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il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sangue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durante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il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corso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dello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studio e per 90 </w:t>
            </w:r>
            <w:proofErr w:type="spellStart"/>
            <w:r>
              <w:rPr>
                <w:rFonts w:ascii="Calibri" w:hAnsi="Calibri" w:cs="Calibri"/>
                <w:lang w:val="en-GB"/>
              </w:rPr>
              <w:t>giorni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dopo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l’ultima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dose di trattamento.</w:t>
            </w:r>
          </w:p>
          <w:p w14:paraId="015D6797" w14:textId="591FFA3C" w:rsidR="00302BD6" w:rsidRDefault="009C55ED" w:rsidP="00302BD6">
            <w:pPr>
              <w:widowControl w:val="0"/>
              <w:spacing w:line="360" w:lineRule="auto"/>
              <w:ind w:left="749" w:hanging="425"/>
              <w:jc w:val="both"/>
              <w:rPr>
                <w:rFonts w:ascii="Calibri" w:hAnsi="Calibri" w:cs="Calibri"/>
                <w:lang w:val="en-GB"/>
              </w:rPr>
            </w:pPr>
            <w:r w:rsidRPr="00302BD6">
              <w:rPr>
                <w:rFonts w:ascii="Calibri" w:hAnsi="Calibri" w:cs="Calibri"/>
                <w:lang w:val="en-GB"/>
              </w:rPr>
              <w:t xml:space="preserve">8.   Le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pazienti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devono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acconsentire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a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fornire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tessuto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tumorale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derivante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 xml:space="preserve"> da 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nuova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biopsia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 xml:space="preserve">; 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il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campione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può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essere</w:t>
            </w:r>
            <w:proofErr w:type="spellEnd"/>
            <w:r w:rsidR="00302BD6" w:rsidRPr="00342828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302BD6" w:rsidRPr="00342828">
              <w:rPr>
                <w:rFonts w:ascii="Calibri" w:hAnsi="Calibri" w:cs="Calibri"/>
                <w:lang w:val="en-GB"/>
              </w:rPr>
              <w:lastRenderedPageBreak/>
              <w:t>ottenuto</w:t>
            </w:r>
            <w:proofErr w:type="spellEnd"/>
            <w:r w:rsidR="00302BD6" w:rsidRPr="00342828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302BD6" w:rsidRPr="00342828">
              <w:rPr>
                <w:rFonts w:ascii="Calibri" w:hAnsi="Calibri" w:cs="Calibri"/>
                <w:lang w:val="en-GB"/>
              </w:rPr>
              <w:t>fino</w:t>
            </w:r>
            <w:proofErr w:type="spellEnd"/>
            <w:r w:rsidR="00302BD6" w:rsidRPr="00342828">
              <w:rPr>
                <w:rFonts w:ascii="Calibri" w:hAnsi="Calibri" w:cs="Calibri"/>
                <w:lang w:val="en-GB"/>
              </w:rPr>
              <w:t xml:space="preserve"> a 6 </w:t>
            </w:r>
            <w:proofErr w:type="spellStart"/>
            <w:r w:rsidR="00302BD6" w:rsidRPr="00342828">
              <w:rPr>
                <w:rFonts w:ascii="Calibri" w:hAnsi="Calibri" w:cs="Calibri"/>
                <w:lang w:val="en-GB"/>
              </w:rPr>
              <w:t>settimane</w:t>
            </w:r>
            <w:proofErr w:type="spellEnd"/>
            <w:r w:rsidR="00302BD6" w:rsidRPr="00342828">
              <w:rPr>
                <w:rFonts w:ascii="Calibri" w:hAnsi="Calibri" w:cs="Calibri"/>
                <w:lang w:val="en-GB"/>
              </w:rPr>
              <w:t xml:space="preserve"> (42 </w:t>
            </w:r>
            <w:proofErr w:type="spellStart"/>
            <w:r w:rsidR="00302BD6" w:rsidRPr="00342828">
              <w:rPr>
                <w:rFonts w:ascii="Calibri" w:hAnsi="Calibri" w:cs="Calibri"/>
                <w:lang w:val="en-GB"/>
              </w:rPr>
              <w:t>giorni</w:t>
            </w:r>
            <w:proofErr w:type="spellEnd"/>
            <w:r w:rsidR="00302BD6" w:rsidRPr="00342828">
              <w:rPr>
                <w:rFonts w:ascii="Calibri" w:hAnsi="Calibri" w:cs="Calibri"/>
                <w:lang w:val="en-GB"/>
              </w:rPr>
              <w:t xml:space="preserve">) prima </w:t>
            </w:r>
            <w:proofErr w:type="spellStart"/>
            <w:r w:rsidR="00302BD6" w:rsidRPr="00342828">
              <w:rPr>
                <w:rFonts w:ascii="Calibri" w:hAnsi="Calibri" w:cs="Calibri"/>
                <w:lang w:val="en-GB"/>
              </w:rPr>
              <w:t>dell'inizio</w:t>
            </w:r>
            <w:proofErr w:type="spellEnd"/>
            <w:r w:rsidR="00302BD6" w:rsidRPr="00342828">
              <w:rPr>
                <w:rFonts w:ascii="Calibri" w:hAnsi="Calibri" w:cs="Calibri"/>
                <w:lang w:val="en-GB"/>
              </w:rPr>
              <w:t xml:space="preserve"> del </w:t>
            </w:r>
            <w:proofErr w:type="spellStart"/>
            <w:r w:rsidR="00302BD6" w:rsidRPr="00342828">
              <w:rPr>
                <w:rFonts w:ascii="Calibri" w:hAnsi="Calibri" w:cs="Calibri"/>
                <w:lang w:val="en-GB"/>
              </w:rPr>
              <w:t>trattamento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 xml:space="preserve"> (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giorno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 xml:space="preserve"> 1)</w:t>
            </w:r>
            <w:r w:rsidR="00302BD6" w:rsidRPr="00342828">
              <w:rPr>
                <w:rFonts w:ascii="Calibri" w:hAnsi="Calibri" w:cs="Calibri"/>
                <w:lang w:val="en-GB"/>
              </w:rPr>
              <w:t xml:space="preserve">. </w:t>
            </w:r>
            <w:r w:rsidR="00302BD6">
              <w:rPr>
                <w:rFonts w:ascii="Calibri" w:hAnsi="Calibri" w:cs="Calibri"/>
                <w:lang w:val="en-GB"/>
              </w:rPr>
              <w:t xml:space="preserve">Le 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pazienti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che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 xml:space="preserve"> </w:t>
            </w:r>
            <w:proofErr w:type="gramStart"/>
            <w:r w:rsidR="00302BD6">
              <w:rPr>
                <w:rFonts w:ascii="Calibri" w:hAnsi="Calibri" w:cs="Calibri"/>
                <w:lang w:val="en-GB"/>
              </w:rPr>
              <w:t xml:space="preserve">non 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possono</w:t>
            </w:r>
            <w:proofErr w:type="spellEnd"/>
            <w:proofErr w:type="gramEnd"/>
            <w:r w:rsid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fornire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questo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campione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 xml:space="preserve"> (per 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inaccessibilità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 xml:space="preserve"> o 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motivi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 xml:space="preserve"> di 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sicurezza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>)</w:t>
            </w:r>
            <w:r w:rsidR="00302BD6" w:rsidRPr="00342828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302BD6" w:rsidRPr="00342828">
              <w:rPr>
                <w:rFonts w:ascii="Calibri" w:hAnsi="Calibri" w:cs="Calibri"/>
                <w:lang w:val="en-GB"/>
              </w:rPr>
              <w:t>possono</w:t>
            </w:r>
            <w:proofErr w:type="spellEnd"/>
            <w:r w:rsidR="00302BD6" w:rsidRPr="00342828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fornire</w:t>
            </w:r>
            <w:proofErr w:type="spellEnd"/>
            <w:r w:rsidR="00302BD6" w:rsidRPr="00342828">
              <w:rPr>
                <w:rFonts w:ascii="Calibri" w:hAnsi="Calibri" w:cs="Calibri"/>
                <w:lang w:val="en-GB"/>
              </w:rPr>
              <w:t xml:space="preserve"> un </w:t>
            </w:r>
            <w:proofErr w:type="spellStart"/>
            <w:r w:rsidR="00302BD6" w:rsidRPr="00342828">
              <w:rPr>
                <w:rFonts w:ascii="Calibri" w:hAnsi="Calibri" w:cs="Calibri"/>
                <w:lang w:val="en-GB"/>
              </w:rPr>
              <w:t>campione</w:t>
            </w:r>
            <w:proofErr w:type="spellEnd"/>
            <w:r w:rsidR="00302BD6" w:rsidRPr="00342828">
              <w:rPr>
                <w:rFonts w:ascii="Calibri" w:hAnsi="Calibri" w:cs="Calibri"/>
                <w:lang w:val="en-GB"/>
              </w:rPr>
              <w:t xml:space="preserve"> </w:t>
            </w:r>
            <w:r w:rsidR="00302BD6">
              <w:rPr>
                <w:rFonts w:ascii="Calibri" w:hAnsi="Calibri" w:cs="Calibri"/>
                <w:lang w:val="en-GB"/>
              </w:rPr>
              <w:t xml:space="preserve">di </w:t>
            </w:r>
            <w:proofErr w:type="spellStart"/>
            <w:r w:rsidR="00302BD6">
              <w:rPr>
                <w:rFonts w:ascii="Calibri" w:hAnsi="Calibri" w:cs="Calibri"/>
                <w:lang w:val="en-GB"/>
              </w:rPr>
              <w:t>tessuto</w:t>
            </w:r>
            <w:proofErr w:type="spellEnd"/>
            <w:r w:rsid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302BD6" w:rsidRPr="00342828">
              <w:rPr>
                <w:rFonts w:ascii="Calibri" w:hAnsi="Calibri" w:cs="Calibri"/>
                <w:lang w:val="en-GB"/>
              </w:rPr>
              <w:t>archiviato</w:t>
            </w:r>
            <w:proofErr w:type="spellEnd"/>
            <w:r w:rsidR="00302BD6" w:rsidRPr="00342828">
              <w:rPr>
                <w:rFonts w:ascii="Calibri" w:hAnsi="Calibri" w:cs="Calibri"/>
                <w:lang w:val="en-GB"/>
              </w:rPr>
              <w:t>.</w:t>
            </w:r>
          </w:p>
          <w:p w14:paraId="7185A304" w14:textId="64D16E2B" w:rsidR="00302BD6" w:rsidRDefault="00302BD6" w:rsidP="00302BD6">
            <w:pPr>
              <w:widowControl w:val="0"/>
              <w:spacing w:line="360" w:lineRule="auto"/>
              <w:ind w:left="749" w:hanging="425"/>
              <w:jc w:val="both"/>
              <w:rPr>
                <w:rFonts w:ascii="Calibri" w:hAnsi="Calibri" w:cs="Calibri"/>
                <w:lang w:val="en-GB"/>
              </w:rPr>
            </w:pPr>
            <w:r w:rsidRPr="00BB13B9">
              <w:rPr>
                <w:rFonts w:ascii="Calibri" w:hAnsi="Calibri" w:cs="Calibri"/>
                <w:lang w:val="en-GB"/>
              </w:rPr>
              <w:t xml:space="preserve">9. 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Pazienti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potenzialmente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fertili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devono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avere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un test di </w:t>
            </w:r>
            <w:proofErr w:type="spellStart"/>
            <w:r>
              <w:rPr>
                <w:rFonts w:ascii="Calibri" w:hAnsi="Calibri" w:cs="Calibri"/>
                <w:lang w:val="en-GB"/>
              </w:rPr>
              <w:t>gravidanza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 </w:t>
            </w:r>
            <w:proofErr w:type="spellStart"/>
            <w:r>
              <w:rPr>
                <w:rFonts w:ascii="Calibri" w:hAnsi="Calibri" w:cs="Calibri"/>
                <w:lang w:val="en-GB"/>
              </w:rPr>
              <w:t>su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urine o </w:t>
            </w:r>
            <w:proofErr w:type="spellStart"/>
            <w:r>
              <w:rPr>
                <w:rFonts w:ascii="Calibri" w:hAnsi="Calibri" w:cs="Calibri"/>
                <w:lang w:val="en-GB"/>
              </w:rPr>
              <w:t>siero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negativo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entro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7 </w:t>
            </w:r>
            <w:proofErr w:type="spellStart"/>
            <w:r>
              <w:rPr>
                <w:rFonts w:ascii="Calibri" w:hAnsi="Calibri" w:cs="Calibri"/>
                <w:lang w:val="en-GB"/>
              </w:rPr>
              <w:t>giorni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prima </w:t>
            </w:r>
            <w:proofErr w:type="spellStart"/>
            <w:r>
              <w:rPr>
                <w:rFonts w:ascii="Calibri" w:hAnsi="Calibri" w:cs="Calibri"/>
                <w:lang w:val="en-GB"/>
              </w:rPr>
              <w:t>dell’inizio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lang w:val="en-GB"/>
              </w:rPr>
              <w:t>trattamento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eastenersi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da </w:t>
            </w:r>
            <w:proofErr w:type="spellStart"/>
            <w:r>
              <w:rPr>
                <w:rFonts w:ascii="Calibri" w:hAnsi="Calibri" w:cs="Calibri"/>
                <w:lang w:val="en-GB"/>
              </w:rPr>
              <w:t>attività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che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potrebbero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esitare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lang w:val="en-GB"/>
              </w:rPr>
              <w:t>una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gravidanza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dal </w:t>
            </w:r>
            <w:proofErr w:type="spellStart"/>
            <w:r>
              <w:rPr>
                <w:rFonts w:ascii="Calibri" w:hAnsi="Calibri" w:cs="Calibri"/>
                <w:lang w:val="en-GB"/>
              </w:rPr>
              <w:t>momento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dello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screening e </w:t>
            </w:r>
            <w:proofErr w:type="spellStart"/>
            <w:r>
              <w:rPr>
                <w:rFonts w:ascii="Calibri" w:hAnsi="Calibri" w:cs="Calibri"/>
                <w:lang w:val="en-GB"/>
              </w:rPr>
              <w:t>nei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180 </w:t>
            </w:r>
            <w:proofErr w:type="spellStart"/>
            <w:r>
              <w:rPr>
                <w:rFonts w:ascii="Calibri" w:hAnsi="Calibri" w:cs="Calibri"/>
                <w:lang w:val="en-GB"/>
              </w:rPr>
              <w:t>giorni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successive </w:t>
            </w:r>
            <w:proofErr w:type="spellStart"/>
            <w:r>
              <w:rPr>
                <w:rFonts w:ascii="Calibri" w:hAnsi="Calibri" w:cs="Calibri"/>
                <w:lang w:val="en-GB"/>
              </w:rPr>
              <w:t>all’ultima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dose di </w:t>
            </w:r>
            <w:proofErr w:type="spellStart"/>
            <w:r>
              <w:rPr>
                <w:rFonts w:ascii="Calibri" w:hAnsi="Calibri" w:cs="Calibri"/>
                <w:lang w:val="en-GB"/>
              </w:rPr>
              <w:t>trattamento</w:t>
            </w:r>
            <w:proofErr w:type="spellEnd"/>
            <w:r w:rsidRPr="00BB13B9">
              <w:rPr>
                <w:rFonts w:ascii="Calibri" w:hAnsi="Calibri" w:cs="Calibri"/>
                <w:lang w:val="en-GB"/>
              </w:rPr>
              <w:t xml:space="preserve">. </w:t>
            </w:r>
            <w:r>
              <w:rPr>
                <w:rFonts w:ascii="Calibri" w:hAnsi="Calibri" w:cs="Calibri"/>
                <w:lang w:val="en-GB"/>
              </w:rPr>
              <w:t xml:space="preserve">Le </w:t>
            </w:r>
            <w:proofErr w:type="spellStart"/>
            <w:r>
              <w:rPr>
                <w:rFonts w:ascii="Calibri" w:hAnsi="Calibri" w:cs="Calibri"/>
                <w:lang w:val="en-GB"/>
              </w:rPr>
              <w:t>pazienti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non </w:t>
            </w:r>
            <w:proofErr w:type="spellStart"/>
            <w:r>
              <w:rPr>
                <w:rFonts w:ascii="Calibri" w:hAnsi="Calibri" w:cs="Calibri"/>
                <w:lang w:val="en-GB"/>
              </w:rPr>
              <w:t>sono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considerate </w:t>
            </w:r>
            <w:proofErr w:type="spellStart"/>
            <w:r>
              <w:rPr>
                <w:rFonts w:ascii="Calibri" w:hAnsi="Calibri" w:cs="Calibri"/>
                <w:lang w:val="en-GB"/>
              </w:rPr>
              <w:t>potenzialmente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fertili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se:</w:t>
            </w:r>
          </w:p>
          <w:p w14:paraId="2A68F531" w14:textId="77777777" w:rsidR="00302BD6" w:rsidRDefault="00302BD6" w:rsidP="00302BD6">
            <w:pPr>
              <w:widowControl w:val="0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Calibri" w:hAnsi="Calibri" w:cs="Calibri"/>
                <w:lang w:val="en-GB"/>
              </w:rPr>
            </w:pPr>
            <w:proofErr w:type="spellStart"/>
            <w:r>
              <w:rPr>
                <w:rFonts w:ascii="Calibri" w:hAnsi="Calibri" w:cs="Calibri"/>
                <w:lang w:val="en-GB"/>
              </w:rPr>
              <w:t>Pazienti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 di </w:t>
            </w:r>
            <w:proofErr w:type="spellStart"/>
            <w:r>
              <w:rPr>
                <w:rFonts w:ascii="Calibri" w:hAnsi="Calibri" w:cs="Calibri"/>
                <w:lang w:val="en-GB"/>
              </w:rPr>
              <w:t>età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BB13B9">
              <w:rPr>
                <w:rFonts w:ascii="Calibri" w:hAnsi="Calibri" w:cs="Calibri"/>
                <w:lang w:val="en-GB"/>
              </w:rPr>
              <w:t xml:space="preserve">≥45 </w:t>
            </w:r>
            <w:proofErr w:type="spellStart"/>
            <w:r>
              <w:rPr>
                <w:rFonts w:ascii="Calibri" w:hAnsi="Calibri" w:cs="Calibri"/>
                <w:lang w:val="en-GB"/>
              </w:rPr>
              <w:t>anni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,</w:t>
            </w:r>
            <w:r w:rsidRPr="00E66630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E66630">
              <w:rPr>
                <w:rFonts w:ascii="Calibri" w:hAnsi="Calibri" w:cs="Calibri"/>
                <w:lang w:val="en-GB"/>
              </w:rPr>
              <w:t>amenorr</w:t>
            </w:r>
            <w:r>
              <w:rPr>
                <w:rFonts w:ascii="Calibri" w:hAnsi="Calibri" w:cs="Calibri"/>
                <w:lang w:val="en-GB"/>
              </w:rPr>
              <w:t>ea</w:t>
            </w:r>
            <w:proofErr w:type="spellEnd"/>
            <w:r w:rsidRPr="00E66630">
              <w:rPr>
                <w:rFonts w:ascii="Calibri" w:hAnsi="Calibri" w:cs="Calibri"/>
                <w:lang w:val="en-GB"/>
              </w:rPr>
              <w:t xml:space="preserve"> da &gt;1 anno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AA1299">
              <w:rPr>
                <w:rFonts w:ascii="Calibri" w:hAnsi="Calibri" w:cs="Calibri"/>
                <w:lang w:val="en-GB"/>
              </w:rPr>
              <w:t xml:space="preserve">e </w:t>
            </w:r>
            <w:r>
              <w:rPr>
                <w:rFonts w:ascii="Calibri" w:hAnsi="Calibri" w:cs="Calibri"/>
                <w:lang w:val="en-GB"/>
              </w:rPr>
              <w:t xml:space="preserve">con </w:t>
            </w:r>
            <w:proofErr w:type="spellStart"/>
            <w:r>
              <w:rPr>
                <w:rFonts w:ascii="Calibri" w:hAnsi="Calibri" w:cs="Calibri"/>
                <w:lang w:val="en-GB"/>
              </w:rPr>
              <w:t>livelli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elevati</w:t>
            </w:r>
            <w:proofErr w:type="spellEnd"/>
            <w:r w:rsidRPr="00AA1299">
              <w:rPr>
                <w:rFonts w:ascii="Calibri" w:hAnsi="Calibri" w:cs="Calibri"/>
                <w:lang w:val="en-GB"/>
              </w:rPr>
              <w:t xml:space="preserve"> di </w:t>
            </w:r>
            <w:proofErr w:type="spellStart"/>
            <w:r w:rsidRPr="00AA1299">
              <w:rPr>
                <w:rFonts w:ascii="Calibri" w:hAnsi="Calibri" w:cs="Calibri"/>
                <w:lang w:val="en-GB"/>
              </w:rPr>
              <w:t>ormone</w:t>
            </w:r>
            <w:proofErr w:type="spellEnd"/>
            <w:r w:rsidRPr="00AA1299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A1299">
              <w:rPr>
                <w:rFonts w:ascii="Calibri" w:hAnsi="Calibri" w:cs="Calibri"/>
                <w:lang w:val="en-GB"/>
              </w:rPr>
              <w:t>follicolo-stimolante</w:t>
            </w:r>
            <w:proofErr w:type="spellEnd"/>
            <w:r w:rsidRPr="00AA1299">
              <w:rPr>
                <w:rFonts w:ascii="Calibri" w:hAnsi="Calibri" w:cs="Calibri"/>
                <w:lang w:val="en-GB"/>
              </w:rPr>
              <w:t xml:space="preserve"> (FSH) </w:t>
            </w:r>
            <w:proofErr w:type="spellStart"/>
            <w:r w:rsidRPr="00AA1299">
              <w:rPr>
                <w:rFonts w:ascii="Calibri" w:hAnsi="Calibri" w:cs="Calibri"/>
                <w:lang w:val="en-GB"/>
              </w:rPr>
              <w:t>negli</w:t>
            </w:r>
            <w:proofErr w:type="spellEnd"/>
            <w:r w:rsidRPr="00AA1299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AA1299">
              <w:rPr>
                <w:rFonts w:ascii="Calibri" w:hAnsi="Calibri" w:cs="Calibri"/>
                <w:lang w:val="en-GB"/>
              </w:rPr>
              <w:t>interva</w:t>
            </w:r>
            <w:r>
              <w:rPr>
                <w:rFonts w:ascii="Calibri" w:hAnsi="Calibri" w:cs="Calibri"/>
                <w:lang w:val="en-GB"/>
              </w:rPr>
              <w:t>lli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postmenopausali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, </w:t>
            </w:r>
            <w:proofErr w:type="spellStart"/>
            <w:r>
              <w:rPr>
                <w:rFonts w:ascii="Calibri" w:hAnsi="Calibri" w:cs="Calibri"/>
                <w:lang w:val="en-GB"/>
              </w:rPr>
              <w:t>confermati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r w:rsidRPr="00AA1299">
              <w:rPr>
                <w:rFonts w:ascii="Calibri" w:hAnsi="Calibri" w:cs="Calibri"/>
                <w:lang w:val="en-GB"/>
              </w:rPr>
              <w:t xml:space="preserve">da due </w:t>
            </w:r>
            <w:proofErr w:type="spellStart"/>
            <w:r w:rsidRPr="00AA1299">
              <w:rPr>
                <w:rFonts w:ascii="Calibri" w:hAnsi="Calibri" w:cs="Calibri"/>
                <w:lang w:val="en-GB"/>
              </w:rPr>
              <w:t>misurazioni</w:t>
            </w:r>
            <w:proofErr w:type="spellEnd"/>
            <w:r w:rsidRPr="00AA1299">
              <w:rPr>
                <w:rFonts w:ascii="Calibri" w:hAnsi="Calibri" w:cs="Calibri"/>
                <w:lang w:val="en-GB"/>
              </w:rPr>
              <w:t xml:space="preserve"> di FSH</w:t>
            </w:r>
          </w:p>
          <w:p w14:paraId="352A9BA7" w14:textId="77777777" w:rsidR="00302BD6" w:rsidRDefault="00302BD6" w:rsidP="00302BD6">
            <w:pPr>
              <w:widowControl w:val="0"/>
              <w:numPr>
                <w:ilvl w:val="0"/>
                <w:numId w:val="10"/>
              </w:numPr>
              <w:spacing w:after="0" w:line="360" w:lineRule="auto"/>
              <w:ind w:left="1033" w:hanging="295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Le </w:t>
            </w:r>
            <w:proofErr w:type="spellStart"/>
            <w:r w:rsidRPr="002D6098">
              <w:rPr>
                <w:rFonts w:ascii="Calibri" w:hAnsi="Calibri" w:cs="Calibri"/>
                <w:lang w:val="en-GB"/>
              </w:rPr>
              <w:t>pazienti</w:t>
            </w:r>
            <w:proofErr w:type="spellEnd"/>
            <w:r w:rsidRPr="002D6098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2D6098">
              <w:rPr>
                <w:rFonts w:ascii="Calibri" w:hAnsi="Calibri" w:cs="Calibri"/>
                <w:lang w:val="en-GB"/>
              </w:rPr>
              <w:t>amenorr</w:t>
            </w:r>
            <w:r>
              <w:rPr>
                <w:rFonts w:ascii="Calibri" w:hAnsi="Calibri" w:cs="Calibri"/>
                <w:lang w:val="en-GB"/>
              </w:rPr>
              <w:t>e</w:t>
            </w:r>
            <w:r w:rsidRPr="002D6098">
              <w:rPr>
                <w:rFonts w:ascii="Calibri" w:hAnsi="Calibri" w:cs="Calibri"/>
                <w:lang w:val="en-GB"/>
              </w:rPr>
              <w:t>ic</w:t>
            </w:r>
            <w:r>
              <w:rPr>
                <w:rFonts w:ascii="Calibri" w:hAnsi="Calibri" w:cs="Calibri"/>
                <w:lang w:val="en-GB"/>
              </w:rPr>
              <w:t>he</w:t>
            </w:r>
            <w:proofErr w:type="spellEnd"/>
            <w:r w:rsidRPr="002D6098">
              <w:rPr>
                <w:rFonts w:ascii="Calibri" w:hAnsi="Calibri" w:cs="Calibri"/>
                <w:lang w:val="en-GB"/>
              </w:rPr>
              <w:t xml:space="preserve"> per &lt;2 </w:t>
            </w:r>
            <w:proofErr w:type="spellStart"/>
            <w:r w:rsidRPr="002D6098">
              <w:rPr>
                <w:rFonts w:ascii="Calibri" w:hAnsi="Calibri" w:cs="Calibri"/>
                <w:lang w:val="en-GB"/>
              </w:rPr>
              <w:t>anni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, </w:t>
            </w:r>
            <w:proofErr w:type="spellStart"/>
            <w:r w:rsidRPr="002D6098">
              <w:rPr>
                <w:rFonts w:ascii="Calibri" w:hAnsi="Calibri" w:cs="Calibri"/>
                <w:lang w:val="en-GB"/>
              </w:rPr>
              <w:t>senza</w:t>
            </w:r>
            <w:proofErr w:type="spellEnd"/>
            <w:r w:rsidRPr="002D6098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2D6098">
              <w:rPr>
                <w:rFonts w:ascii="Calibri" w:hAnsi="Calibri" w:cs="Calibri"/>
                <w:lang w:val="en-GB"/>
              </w:rPr>
              <w:t>storia</w:t>
            </w:r>
            <w:proofErr w:type="spellEnd"/>
            <w:r w:rsidRPr="002D6098">
              <w:rPr>
                <w:rFonts w:ascii="Calibri" w:hAnsi="Calibri" w:cs="Calibri"/>
                <w:lang w:val="en-GB"/>
              </w:rPr>
              <w:t xml:space="preserve"> di </w:t>
            </w:r>
            <w:proofErr w:type="spellStart"/>
            <w:r w:rsidRPr="002D6098">
              <w:rPr>
                <w:rFonts w:ascii="Calibri" w:hAnsi="Calibri" w:cs="Calibri"/>
                <w:lang w:val="en-GB"/>
              </w:rPr>
              <w:t>isterectomia</w:t>
            </w:r>
            <w:proofErr w:type="spellEnd"/>
            <w:r w:rsidRPr="002D6098">
              <w:rPr>
                <w:rFonts w:ascii="Calibri" w:hAnsi="Calibri" w:cs="Calibri"/>
                <w:lang w:val="en-GB"/>
              </w:rPr>
              <w:t xml:space="preserve"> e </w:t>
            </w:r>
            <w:proofErr w:type="spellStart"/>
            <w:r w:rsidRPr="002D6098">
              <w:rPr>
                <w:rFonts w:ascii="Calibri" w:hAnsi="Calibri" w:cs="Calibri"/>
                <w:lang w:val="en-GB"/>
              </w:rPr>
              <w:t>ooforectomia</w:t>
            </w:r>
            <w:proofErr w:type="spellEnd"/>
            <w:r>
              <w:rPr>
                <w:rFonts w:ascii="Calibri" w:hAnsi="Calibri" w:cs="Calibri"/>
                <w:lang w:val="en-GB"/>
              </w:rPr>
              <w:t>,</w:t>
            </w:r>
            <w:r w:rsidRPr="002D6098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2D6098">
              <w:rPr>
                <w:rFonts w:ascii="Calibri" w:hAnsi="Calibri" w:cs="Calibri"/>
                <w:lang w:val="en-GB"/>
              </w:rPr>
              <w:t>devono</w:t>
            </w:r>
            <w:proofErr w:type="spellEnd"/>
            <w:r w:rsidRPr="002D6098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2D6098">
              <w:rPr>
                <w:rFonts w:ascii="Calibri" w:hAnsi="Calibri" w:cs="Calibri"/>
                <w:lang w:val="en-GB"/>
              </w:rPr>
              <w:t>presentare</w:t>
            </w:r>
            <w:proofErr w:type="spellEnd"/>
            <w:r>
              <w:rPr>
                <w:rFonts w:ascii="Calibri" w:hAnsi="Calibri" w:cs="Calibri"/>
                <w:lang w:val="en-GB"/>
              </w:rPr>
              <w:t>,</w:t>
            </w:r>
            <w:r w:rsidRPr="002D6098">
              <w:rPr>
                <w:rFonts w:ascii="Calibri" w:hAnsi="Calibri" w:cs="Calibri"/>
                <w:lang w:val="en-GB"/>
              </w:rPr>
              <w:t xml:space="preserve"> al </w:t>
            </w:r>
            <w:proofErr w:type="spellStart"/>
            <w:r w:rsidRPr="002D6098">
              <w:rPr>
                <w:rFonts w:ascii="Calibri" w:hAnsi="Calibri" w:cs="Calibri"/>
                <w:lang w:val="en-GB"/>
              </w:rPr>
              <w:t>momento</w:t>
            </w:r>
            <w:proofErr w:type="spellEnd"/>
            <w:r w:rsidRPr="002D6098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dello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screening,</w:t>
            </w:r>
            <w:r w:rsidRPr="002D6098">
              <w:rPr>
                <w:rFonts w:ascii="Calibri" w:hAnsi="Calibri" w:cs="Calibri"/>
                <w:lang w:val="en-GB"/>
              </w:rPr>
              <w:t xml:space="preserve"> un </w:t>
            </w:r>
            <w:proofErr w:type="spellStart"/>
            <w:r w:rsidRPr="002D6098">
              <w:rPr>
                <w:rFonts w:ascii="Calibri" w:hAnsi="Calibri" w:cs="Calibri"/>
                <w:lang w:val="en-GB"/>
              </w:rPr>
              <w:t>valore</w:t>
            </w:r>
            <w:proofErr w:type="spellEnd"/>
            <w:r w:rsidRPr="002D6098">
              <w:rPr>
                <w:rFonts w:ascii="Calibri" w:hAnsi="Calibri" w:cs="Calibri"/>
                <w:lang w:val="en-GB"/>
              </w:rPr>
              <w:t xml:space="preserve"> di </w:t>
            </w:r>
            <w:proofErr w:type="spellStart"/>
            <w:r w:rsidRPr="002D6098">
              <w:rPr>
                <w:rFonts w:ascii="Calibri" w:hAnsi="Calibri" w:cs="Calibri"/>
                <w:lang w:val="en-GB"/>
              </w:rPr>
              <w:t>ormone</w:t>
            </w:r>
            <w:proofErr w:type="spellEnd"/>
            <w:r w:rsidRPr="002D6098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2D6098">
              <w:rPr>
                <w:rFonts w:ascii="Calibri" w:hAnsi="Calibri" w:cs="Calibri"/>
                <w:lang w:val="en-GB"/>
              </w:rPr>
              <w:t>follicolo-stimolante</w:t>
            </w:r>
            <w:proofErr w:type="spellEnd"/>
            <w:r w:rsidRPr="002D6098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2D6098">
              <w:rPr>
                <w:rFonts w:ascii="Calibri" w:hAnsi="Calibri" w:cs="Calibri"/>
                <w:lang w:val="en-GB"/>
              </w:rPr>
              <w:t>nell'intervallo</w:t>
            </w:r>
            <w:proofErr w:type="spellEnd"/>
            <w:r w:rsidRPr="002D6098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2D6098">
              <w:rPr>
                <w:rFonts w:ascii="Calibri" w:hAnsi="Calibri" w:cs="Calibri"/>
                <w:lang w:val="en-GB"/>
              </w:rPr>
              <w:t>postmenopausale</w:t>
            </w:r>
            <w:proofErr w:type="spellEnd"/>
          </w:p>
          <w:p w14:paraId="44C0C164" w14:textId="77777777" w:rsidR="00302BD6" w:rsidRPr="00491273" w:rsidRDefault="00302BD6" w:rsidP="00302BD6">
            <w:pPr>
              <w:widowControl w:val="0"/>
              <w:numPr>
                <w:ilvl w:val="0"/>
                <w:numId w:val="10"/>
              </w:numPr>
              <w:spacing w:after="0" w:line="360" w:lineRule="auto"/>
              <w:ind w:left="1033" w:hanging="295"/>
              <w:jc w:val="both"/>
              <w:rPr>
                <w:rFonts w:ascii="Calibri" w:hAnsi="Calibri" w:cs="Calibri"/>
                <w:lang w:val="en-GB"/>
              </w:rPr>
            </w:pPr>
            <w:proofErr w:type="spellStart"/>
            <w:r w:rsidRPr="00302BD6">
              <w:rPr>
                <w:rFonts w:ascii="Calibri" w:hAnsi="Calibri" w:cs="Calibri"/>
                <w:lang w:val="en-GB"/>
              </w:rPr>
              <w:t>Pazienti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sottoposte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aisterectomia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,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ooforectomia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bilaterale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o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legatura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tubarica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.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Isterectomia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o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ooforectomia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devono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essere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confermate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in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cartella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clinica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o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confermate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ecograficamente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. La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legatura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delle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tube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deve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essere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confermata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in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cartella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clinica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;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diversamente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le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pazienti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devono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essere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disposte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ad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utilizzare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2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metodi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di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barriera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adeguati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proofErr w:type="gramStart"/>
            <w:r w:rsidRPr="00302BD6">
              <w:rPr>
                <w:rFonts w:ascii="Calibri" w:hAnsi="Calibri" w:cs="Calibri"/>
                <w:lang w:val="en-GB"/>
              </w:rPr>
              <w:t>durante</w:t>
            </w:r>
            <w:proofErr w:type="spellEnd"/>
            <w:proofErr w:type="gram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il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corso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dello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studio, a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partire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dalla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visita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di screening e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durante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i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180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giorni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successive </w:t>
            </w:r>
            <w:proofErr w:type="spellStart"/>
            <w:r w:rsidRPr="00302BD6">
              <w:rPr>
                <w:rFonts w:ascii="Calibri" w:hAnsi="Calibri" w:cs="Calibri"/>
                <w:lang w:val="en-GB"/>
              </w:rPr>
              <w:t>all’ultima</w:t>
            </w:r>
            <w:proofErr w:type="spellEnd"/>
            <w:r w:rsidRPr="00302BD6">
              <w:rPr>
                <w:rFonts w:ascii="Calibri" w:hAnsi="Calibri" w:cs="Calibri"/>
                <w:lang w:val="en-GB"/>
              </w:rPr>
              <w:t xml:space="preserve"> dose di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BA1542">
              <w:rPr>
                <w:rFonts w:ascii="Calibri" w:hAnsi="Calibri" w:cs="Calibri"/>
                <w:lang w:val="en-GB"/>
              </w:rPr>
              <w:t>trattamento</w:t>
            </w:r>
            <w:proofErr w:type="spellEnd"/>
            <w:r w:rsidRPr="00BA1542">
              <w:rPr>
                <w:rFonts w:ascii="Calibri" w:hAnsi="Calibri" w:cs="Calibri"/>
                <w:lang w:val="en-GB"/>
              </w:rPr>
              <w:t xml:space="preserve">. </w:t>
            </w:r>
          </w:p>
          <w:p w14:paraId="31C7F93D" w14:textId="77777777" w:rsidR="00302BD6" w:rsidRDefault="00302BD6" w:rsidP="00302BD6">
            <w:pPr>
              <w:widowControl w:val="0"/>
              <w:spacing w:line="360" w:lineRule="auto"/>
              <w:ind w:left="749" w:hanging="425"/>
              <w:jc w:val="both"/>
              <w:rPr>
                <w:rFonts w:ascii="Calibri" w:hAnsi="Calibri" w:cs="Calibri"/>
                <w:lang w:val="en-GB"/>
              </w:rPr>
            </w:pPr>
            <w:r w:rsidRPr="00BB13B9">
              <w:rPr>
                <w:rFonts w:ascii="Calibri" w:hAnsi="Calibri" w:cs="Calibri"/>
                <w:lang w:val="en-GB"/>
              </w:rPr>
              <w:t>10</w:t>
            </w:r>
            <w:proofErr w:type="gramStart"/>
            <w:r w:rsidRPr="00BB13B9">
              <w:rPr>
                <w:rFonts w:ascii="Calibri" w:hAnsi="Calibri" w:cs="Calibri"/>
                <w:lang w:val="en-GB"/>
              </w:rPr>
              <w:t xml:space="preserve">. </w:t>
            </w:r>
            <w:r>
              <w:rPr>
                <w:rFonts w:ascii="Calibri" w:hAnsi="Calibri" w:cs="Calibri"/>
                <w:lang w:val="en-GB"/>
              </w:rPr>
              <w:t xml:space="preserve"> Le</w:t>
            </w:r>
            <w:proofErr w:type="gram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pazienti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devono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acconsentire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a non </w:t>
            </w:r>
            <w:proofErr w:type="spellStart"/>
            <w:r>
              <w:rPr>
                <w:rFonts w:ascii="Calibri" w:hAnsi="Calibri" w:cs="Calibri"/>
                <w:lang w:val="en-GB"/>
              </w:rPr>
              <w:t>allattare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durante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il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corso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dello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studio e per </w:t>
            </w:r>
            <w:proofErr w:type="spellStart"/>
            <w:r>
              <w:rPr>
                <w:rFonts w:ascii="Calibri" w:hAnsi="Calibri" w:cs="Calibri"/>
                <w:lang w:val="en-GB"/>
              </w:rPr>
              <w:t>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180 </w:t>
            </w:r>
            <w:proofErr w:type="spellStart"/>
            <w:r>
              <w:rPr>
                <w:rFonts w:ascii="Calibri" w:hAnsi="Calibri" w:cs="Calibri"/>
                <w:lang w:val="en-GB"/>
              </w:rPr>
              <w:t>giorni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successivi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all’ ultima dose di </w:t>
            </w:r>
            <w:proofErr w:type="spellStart"/>
            <w:r>
              <w:rPr>
                <w:rFonts w:ascii="Calibri" w:hAnsi="Calibri" w:cs="Calibri"/>
                <w:lang w:val="en-GB"/>
              </w:rPr>
              <w:t>trattamento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. </w:t>
            </w:r>
          </w:p>
          <w:p w14:paraId="5FB15FD1" w14:textId="77777777" w:rsidR="00302BD6" w:rsidRDefault="00302BD6" w:rsidP="00302BD6">
            <w:pPr>
              <w:widowControl w:val="0"/>
              <w:spacing w:line="360" w:lineRule="auto"/>
              <w:ind w:left="749" w:hanging="425"/>
              <w:jc w:val="both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11. Le </w:t>
            </w:r>
            <w:proofErr w:type="spellStart"/>
            <w:r>
              <w:rPr>
                <w:rFonts w:ascii="Calibri" w:hAnsi="Calibri" w:cs="Calibri"/>
                <w:lang w:val="en-GB"/>
              </w:rPr>
              <w:t>pazienti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devono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essere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lang w:val="en-GB"/>
              </w:rPr>
              <w:t>grado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lang w:val="en-GB"/>
              </w:rPr>
              <w:t>comprendere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le </w:t>
            </w:r>
            <w:r>
              <w:rPr>
                <w:rFonts w:ascii="Calibri" w:hAnsi="Calibri" w:cs="Calibri"/>
                <w:lang w:val="en-GB"/>
              </w:rPr>
              <w:lastRenderedPageBreak/>
              <w:t xml:space="preserve">procedure </w:t>
            </w:r>
            <w:proofErr w:type="spellStart"/>
            <w:r>
              <w:rPr>
                <w:rFonts w:ascii="Calibri" w:hAnsi="Calibri" w:cs="Calibri"/>
                <w:lang w:val="en-GB"/>
              </w:rPr>
              <w:t>dello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studio e </w:t>
            </w:r>
            <w:proofErr w:type="spellStart"/>
            <w:r>
              <w:rPr>
                <w:rFonts w:ascii="Calibri" w:hAnsi="Calibri" w:cs="Calibri"/>
                <w:lang w:val="en-GB"/>
              </w:rPr>
              <w:t>fornire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il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proprio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consenso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GB"/>
              </w:rPr>
              <w:t>scritto</w:t>
            </w:r>
            <w:proofErr w:type="spellEnd"/>
            <w:r>
              <w:rPr>
                <w:rFonts w:ascii="Calibri" w:hAnsi="Calibri" w:cs="Calibri"/>
                <w:lang w:val="en-GB"/>
              </w:rPr>
              <w:t xml:space="preserve">. </w:t>
            </w:r>
          </w:p>
          <w:p w14:paraId="30EB1CD8" w14:textId="77777777" w:rsidR="00302BD6" w:rsidRPr="00500D11" w:rsidRDefault="00302BD6" w:rsidP="00302BD6">
            <w:pPr>
              <w:widowControl w:val="0"/>
              <w:spacing w:line="360" w:lineRule="auto"/>
              <w:jc w:val="both"/>
              <w:rPr>
                <w:rFonts w:ascii="Calibri" w:hAnsi="Calibri" w:cs="Calibri"/>
                <w:b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lang w:val="en-US"/>
              </w:rPr>
              <w:t>Criteri</w:t>
            </w:r>
            <w:proofErr w:type="spellEnd"/>
            <w:r>
              <w:rPr>
                <w:rFonts w:ascii="Calibri" w:hAnsi="Calibri" w:cs="Calibri"/>
                <w:b/>
                <w:lang w:val="en-US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b/>
                <w:lang w:val="en-US"/>
              </w:rPr>
              <w:t>esclusione</w:t>
            </w:r>
            <w:proofErr w:type="spellEnd"/>
            <w:r w:rsidRPr="00500D11">
              <w:rPr>
                <w:rFonts w:ascii="Calibri" w:hAnsi="Calibri" w:cs="Calibri"/>
                <w:b/>
                <w:lang w:val="en-US"/>
              </w:rPr>
              <w:t>:</w:t>
            </w:r>
          </w:p>
          <w:p w14:paraId="46BE58FE" w14:textId="77777777" w:rsidR="00302BD6" w:rsidRPr="009E43D7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Pazienti che partecipino</w:t>
            </w:r>
            <w:r w:rsidRPr="009E43D7">
              <w:rPr>
                <w:rFonts w:ascii="Calibri" w:hAnsi="Calibri" w:cs="Calibri"/>
              </w:rPr>
              <w:t xml:space="preserve"> contemporaneamente ad un altro studio clinico;</w:t>
            </w:r>
          </w:p>
          <w:p w14:paraId="0F68EFE7" w14:textId="77777777" w:rsidR="00302BD6" w:rsidRPr="00A948CC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Pazienti che abbiano ricevuto </w:t>
            </w:r>
            <w:r w:rsidRPr="00A948CC">
              <w:rPr>
                <w:rFonts w:ascii="Calibri" w:hAnsi="Calibri" w:cs="Calibri"/>
              </w:rPr>
              <w:t>&gt;</w:t>
            </w:r>
            <w:r>
              <w:rPr>
                <w:rFonts w:ascii="Calibri" w:hAnsi="Calibri" w:cs="Calibri"/>
              </w:rPr>
              <w:t xml:space="preserve"> </w:t>
            </w:r>
            <w:r w:rsidRPr="00A948CC">
              <w:rPr>
                <w:rFonts w:ascii="Calibri" w:hAnsi="Calibri" w:cs="Calibri"/>
              </w:rPr>
              <w:t xml:space="preserve">2 </w:t>
            </w:r>
            <w:r>
              <w:rPr>
                <w:rFonts w:ascii="Calibri" w:hAnsi="Calibri" w:cs="Calibri"/>
              </w:rPr>
              <w:t xml:space="preserve">precedenti linee chemioterapiche (precedente trattamento con inibitori di </w:t>
            </w:r>
            <w:proofErr w:type="spellStart"/>
            <w:r>
              <w:rPr>
                <w:rFonts w:ascii="Calibri" w:hAnsi="Calibri" w:cs="Calibri"/>
              </w:rPr>
              <w:t>Parp</w:t>
            </w:r>
            <w:proofErr w:type="spellEnd"/>
            <w:r>
              <w:rPr>
                <w:rFonts w:ascii="Calibri" w:hAnsi="Calibri" w:cs="Calibri"/>
              </w:rPr>
              <w:t xml:space="preserve"> e</w:t>
            </w:r>
            <w:r w:rsidRPr="00A948CC">
              <w:rPr>
                <w:rFonts w:ascii="Calibri" w:hAnsi="Calibri" w:cs="Calibri"/>
              </w:rPr>
              <w:t xml:space="preserve">/o </w:t>
            </w:r>
            <w:r>
              <w:rPr>
                <w:rFonts w:ascii="Calibri" w:hAnsi="Calibri" w:cs="Calibri"/>
              </w:rPr>
              <w:t xml:space="preserve">contro gli inibitori dei </w:t>
            </w:r>
            <w:proofErr w:type="spellStart"/>
            <w:r w:rsidRPr="00A948CC">
              <w:rPr>
                <w:rFonts w:ascii="Calibri" w:hAnsi="Calibri" w:cs="Calibri"/>
              </w:rPr>
              <w:t>check</w:t>
            </w:r>
            <w:proofErr w:type="spellEnd"/>
            <w:r w:rsidRPr="00A948CC">
              <w:rPr>
                <w:rFonts w:ascii="Calibri" w:hAnsi="Calibri" w:cs="Calibri"/>
              </w:rPr>
              <w:t xml:space="preserve"> </w:t>
            </w:r>
            <w:proofErr w:type="spellStart"/>
            <w:r w:rsidRPr="00A948CC">
              <w:rPr>
                <w:rFonts w:ascii="Calibri" w:hAnsi="Calibri" w:cs="Calibri"/>
              </w:rPr>
              <w:t>point</w:t>
            </w:r>
            <w:proofErr w:type="spellEnd"/>
            <w:r w:rsidRPr="00A948C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è acconsentito fornendo</w:t>
            </w:r>
            <w:r w:rsidRPr="00A948C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evidenza che siano intercorsi almeno 6 mesi dall’ultimo trattamento</w:t>
            </w:r>
            <w:r w:rsidRPr="00A948CC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;</w:t>
            </w:r>
          </w:p>
          <w:p w14:paraId="47C82C69" w14:textId="501830EE" w:rsidR="00302BD6" w:rsidRPr="00A948CC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Pazienti sottoposte ad intervento di chirurgia maggiore nelle </w:t>
            </w:r>
            <w:r w:rsidRPr="00A948CC">
              <w:rPr>
                <w:rFonts w:ascii="Calibri" w:hAnsi="Calibri" w:cs="Calibri"/>
              </w:rPr>
              <w:t xml:space="preserve">3 </w:t>
            </w:r>
            <w:r>
              <w:rPr>
                <w:rFonts w:ascii="Calibri" w:hAnsi="Calibri" w:cs="Calibri"/>
              </w:rPr>
              <w:t>settimane precedenti l’inizio del trattamento e dovrebbero comunque aver recuperato</w:t>
            </w:r>
            <w:r w:rsidRPr="00A948C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qualsiasi 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>effetto relativo all’ intervento chirurgico</w:t>
            </w:r>
            <w:r w:rsidRPr="00A948CC">
              <w:rPr>
                <w:rFonts w:ascii="Calibri" w:hAnsi="Calibri" w:cs="Calibri"/>
              </w:rPr>
              <w:t>.</w:t>
            </w:r>
          </w:p>
          <w:p w14:paraId="655C9A86" w14:textId="77777777" w:rsidR="00302BD6" w:rsidRPr="00A948CC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Pazienti che hanno ricevuto un altro trattamento sperimentale nelle </w:t>
            </w:r>
            <w:r w:rsidRPr="00A948CC">
              <w:rPr>
                <w:rFonts w:ascii="Calibri" w:hAnsi="Calibri" w:cs="Calibri"/>
              </w:rPr>
              <w:t xml:space="preserve">4 </w:t>
            </w:r>
            <w:r>
              <w:rPr>
                <w:rFonts w:ascii="Calibri" w:hAnsi="Calibri" w:cs="Calibri"/>
              </w:rPr>
              <w:t>settimane precedenti l’inizio del trattamento</w:t>
            </w:r>
            <w:r w:rsidRPr="00A948CC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o entro un intervallo di tempo inferiore a 5 emivite del farmaco oggetto della sperimentazione;</w:t>
            </w:r>
          </w:p>
          <w:p w14:paraId="2CA0F37A" w14:textId="77777777" w:rsidR="00302BD6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Pazienti sottoposte a radioterapia che abbia interessato </w:t>
            </w:r>
            <w:r w:rsidRPr="00A948CC">
              <w:rPr>
                <w:rFonts w:ascii="Calibri" w:hAnsi="Calibri" w:cs="Calibri"/>
              </w:rPr>
              <w:t xml:space="preserve">&gt;20% </w:t>
            </w:r>
            <w:r>
              <w:rPr>
                <w:rFonts w:ascii="Calibri" w:hAnsi="Calibri" w:cs="Calibri"/>
              </w:rPr>
              <w:t xml:space="preserve">del midollo osseo entro </w:t>
            </w:r>
            <w:r w:rsidRPr="00A948CC">
              <w:rPr>
                <w:rFonts w:ascii="Calibri" w:hAnsi="Calibri" w:cs="Calibri"/>
              </w:rPr>
              <w:t xml:space="preserve">2 </w:t>
            </w:r>
            <w:r>
              <w:rPr>
                <w:rFonts w:ascii="Calibri" w:hAnsi="Calibri" w:cs="Calibri"/>
              </w:rPr>
              <w:t>settimane</w:t>
            </w:r>
            <w:r w:rsidRPr="00A948CC">
              <w:rPr>
                <w:rFonts w:ascii="Calibri" w:hAnsi="Calibri" w:cs="Calibri"/>
              </w:rPr>
              <w:t xml:space="preserve">; </w:t>
            </w:r>
            <w:r>
              <w:rPr>
                <w:rFonts w:ascii="Calibri" w:hAnsi="Calibri" w:cs="Calibri"/>
              </w:rPr>
              <w:t>o qualsiasi radioterapia entro 1 settimana prima dell’inizio del trattamento;</w:t>
            </w:r>
          </w:p>
          <w:p w14:paraId="35A95F45" w14:textId="609062F8" w:rsidR="00302BD6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Pazienti che</w:t>
            </w:r>
            <w:r w:rsidRPr="00AA1299">
              <w:rPr>
                <w:rFonts w:ascii="Calibri" w:hAnsi="Calibri" w:cs="Calibri"/>
              </w:rPr>
              <w:t xml:space="preserve"> non </w:t>
            </w:r>
            <w:r>
              <w:rPr>
                <w:rFonts w:ascii="Calibri" w:hAnsi="Calibri" w:cs="Calibri"/>
              </w:rPr>
              <w:t>abbiano recuperato</w:t>
            </w:r>
            <w:r w:rsidRPr="00AA129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al grado 1 da tossicità associate a precedenti terapie;</w:t>
            </w:r>
          </w:p>
          <w:p w14:paraId="747E3DB6" w14:textId="77777777" w:rsidR="00302BD6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Pazienti per cui è nota un’ipersensibilità a componenti o eccipienti di </w:t>
            </w:r>
            <w:proofErr w:type="spellStart"/>
            <w:r>
              <w:rPr>
                <w:rFonts w:ascii="Calibri" w:hAnsi="Calibri" w:cs="Calibri"/>
              </w:rPr>
              <w:t>Niraparib</w:t>
            </w:r>
            <w:proofErr w:type="spellEnd"/>
            <w:r>
              <w:rPr>
                <w:rFonts w:ascii="Calibri" w:hAnsi="Calibri" w:cs="Calibri"/>
              </w:rPr>
              <w:t xml:space="preserve"> o </w:t>
            </w:r>
            <w:proofErr w:type="spellStart"/>
            <w:r>
              <w:rPr>
                <w:rFonts w:ascii="Calibri" w:hAnsi="Calibri" w:cs="Calibri"/>
              </w:rPr>
              <w:t>Dostarlimab</w:t>
            </w:r>
            <w:proofErr w:type="spellEnd"/>
            <w:r>
              <w:rPr>
                <w:rFonts w:ascii="Calibri" w:hAnsi="Calibri" w:cs="Calibri"/>
              </w:rPr>
              <w:t>. L</w:t>
            </w:r>
            <w:r w:rsidRPr="00AA1299">
              <w:rPr>
                <w:rFonts w:ascii="Calibri" w:hAnsi="Calibri" w:cs="Calibri"/>
              </w:rPr>
              <w:t xml:space="preserve">e </w:t>
            </w:r>
            <w:r>
              <w:rPr>
                <w:rFonts w:ascii="Calibri" w:hAnsi="Calibri" w:cs="Calibri"/>
              </w:rPr>
              <w:t>pazienti non devono</w:t>
            </w:r>
            <w:r w:rsidRPr="00AA1299">
              <w:rPr>
                <w:rFonts w:ascii="Calibri" w:hAnsi="Calibri" w:cs="Calibri"/>
              </w:rPr>
              <w:t xml:space="preserve"> presentare ipersensibilità al trattamento utilizzato come standard di cura nel braccio di controllo (</w:t>
            </w:r>
            <w:proofErr w:type="spellStart"/>
            <w:r w:rsidRPr="00AA1299">
              <w:rPr>
                <w:rFonts w:ascii="Calibri" w:hAnsi="Calibri" w:cs="Calibri"/>
              </w:rPr>
              <w:t>paclitaxel</w:t>
            </w:r>
            <w:proofErr w:type="spellEnd"/>
            <w:r w:rsidRPr="00AA1299">
              <w:rPr>
                <w:rFonts w:ascii="Calibri" w:hAnsi="Calibri" w:cs="Calibri"/>
              </w:rPr>
              <w:t xml:space="preserve">, </w:t>
            </w:r>
            <w:proofErr w:type="spellStart"/>
            <w:r w:rsidRPr="00AA1299">
              <w:rPr>
                <w:rFonts w:ascii="Calibri" w:hAnsi="Calibri" w:cs="Calibri"/>
              </w:rPr>
              <w:t>doxorubicina</w:t>
            </w:r>
            <w:proofErr w:type="spellEnd"/>
            <w:r w:rsidRPr="00AA1299">
              <w:rPr>
                <w:rFonts w:ascii="Calibri" w:hAnsi="Calibri" w:cs="Calibri"/>
              </w:rPr>
              <w:t xml:space="preserve">, </w:t>
            </w:r>
            <w:proofErr w:type="spellStart"/>
            <w:r w:rsidRPr="00AA1299">
              <w:rPr>
                <w:rFonts w:ascii="Calibri" w:hAnsi="Calibri" w:cs="Calibri"/>
              </w:rPr>
              <w:t>gemcitabina</w:t>
            </w:r>
            <w:proofErr w:type="spellEnd"/>
            <w:r w:rsidRPr="00AA1299">
              <w:rPr>
                <w:rFonts w:ascii="Calibri" w:hAnsi="Calibri" w:cs="Calibri"/>
              </w:rPr>
              <w:t xml:space="preserve">, </w:t>
            </w:r>
            <w:proofErr w:type="spellStart"/>
            <w:r w:rsidRPr="00AA1299">
              <w:rPr>
                <w:rFonts w:ascii="Calibri" w:hAnsi="Calibri" w:cs="Calibri"/>
              </w:rPr>
              <w:t>topotecan</w:t>
            </w:r>
            <w:proofErr w:type="spellEnd"/>
            <w:r w:rsidRPr="00AA1299">
              <w:rPr>
                <w:rFonts w:ascii="Calibri" w:hAnsi="Calibri" w:cs="Calibri"/>
              </w:rPr>
              <w:t xml:space="preserve"> </w:t>
            </w:r>
            <w:proofErr w:type="spellStart"/>
            <w:r w:rsidRPr="00AA1299">
              <w:rPr>
                <w:rFonts w:ascii="Calibri" w:hAnsi="Calibri" w:cs="Calibri"/>
              </w:rPr>
              <w:t>bevacizumab</w:t>
            </w:r>
            <w:proofErr w:type="spellEnd"/>
            <w:r w:rsidRPr="00AA1299">
              <w:rPr>
                <w:rFonts w:ascii="Calibri" w:hAnsi="Calibri" w:cs="Calibri"/>
              </w:rPr>
              <w:t xml:space="preserve"> o suoi eccipienti)</w:t>
            </w:r>
            <w:r>
              <w:rPr>
                <w:rFonts w:ascii="Calibri" w:hAnsi="Calibri" w:cs="Calibri"/>
              </w:rPr>
              <w:t>;</w:t>
            </w:r>
          </w:p>
          <w:p w14:paraId="2A126DD3" w14:textId="77777777" w:rsidR="00302BD6" w:rsidRPr="00A948CC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 pazienti non devono</w:t>
            </w:r>
            <w:r w:rsidRPr="00AA129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presentare</w:t>
            </w:r>
            <w:r w:rsidRPr="00AA1299">
              <w:rPr>
                <w:rFonts w:ascii="Calibri" w:hAnsi="Calibri" w:cs="Calibri"/>
              </w:rPr>
              <w:t xml:space="preserve"> controindicazioni ad altri agenti (compresa la chemioterapia) utilizzati in questo studio</w:t>
            </w:r>
            <w:r>
              <w:rPr>
                <w:rFonts w:ascii="Calibri" w:hAnsi="Calibri" w:cs="Calibri"/>
              </w:rPr>
              <w:t>;</w:t>
            </w:r>
          </w:p>
          <w:p w14:paraId="200BF120" w14:textId="77777777" w:rsidR="00302BD6" w:rsidRPr="00A948CC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 Pazienti che hanno ricevuto una trasfusione (piastrine o eritrociti)</w:t>
            </w:r>
            <w:r w:rsidRPr="00A948C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nelle </w:t>
            </w:r>
            <w:r w:rsidRPr="00A948CC">
              <w:rPr>
                <w:rFonts w:ascii="Calibri" w:hAnsi="Calibri" w:cs="Calibri"/>
              </w:rPr>
              <w:t xml:space="preserve">4 </w:t>
            </w:r>
            <w:r>
              <w:rPr>
                <w:rFonts w:ascii="Calibri" w:hAnsi="Calibri" w:cs="Calibri"/>
              </w:rPr>
              <w:t>settimane precedenti l’inizio del trattamento;</w:t>
            </w:r>
          </w:p>
          <w:p w14:paraId="052E1851" w14:textId="77777777" w:rsidR="00302BD6" w:rsidRPr="00A948CC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Pazienti che hanno ricevuto </w:t>
            </w:r>
            <w:proofErr w:type="spellStart"/>
            <w:r w:rsidRPr="00D42D69">
              <w:rPr>
                <w:rFonts w:ascii="Calibri" w:hAnsi="Calibri" w:cs="Calibri"/>
                <w:i/>
                <w:iCs/>
              </w:rPr>
              <w:t>Colony</w:t>
            </w:r>
            <w:proofErr w:type="spellEnd"/>
            <w:r w:rsidRPr="00D42D69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D42D69">
              <w:rPr>
                <w:rFonts w:ascii="Calibri" w:hAnsi="Calibri" w:cs="Calibri"/>
                <w:i/>
                <w:iCs/>
              </w:rPr>
              <w:t>Stimulating</w:t>
            </w:r>
            <w:proofErr w:type="spellEnd"/>
            <w:r w:rsidRPr="00D42D69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D42D69">
              <w:rPr>
                <w:rFonts w:ascii="Calibri" w:hAnsi="Calibri" w:cs="Calibri"/>
                <w:i/>
                <w:iCs/>
              </w:rPr>
              <w:t>Factors</w:t>
            </w:r>
            <w:proofErr w:type="spellEnd"/>
            <w:r>
              <w:rPr>
                <w:rFonts w:ascii="Calibri" w:hAnsi="Calibri" w:cs="Calibri"/>
              </w:rPr>
              <w:t xml:space="preserve"> entro 4 settimane prima dell’inizio del trattamento;</w:t>
            </w:r>
            <w:r w:rsidRPr="00A948CC">
              <w:rPr>
                <w:rFonts w:ascii="Calibri" w:hAnsi="Calibri" w:cs="Calibri"/>
              </w:rPr>
              <w:t xml:space="preserve"> </w:t>
            </w:r>
          </w:p>
          <w:p w14:paraId="54679E09" w14:textId="77777777" w:rsidR="00302BD6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Pazienti per cui sono note anemia neutropenia o trombocitopenia di Grado 3 o 4, causate da precedenti linee di chemioterapia, persistenti per più di</w:t>
            </w:r>
            <w:r w:rsidRPr="00A948CC">
              <w:rPr>
                <w:rFonts w:ascii="Calibri" w:hAnsi="Calibri" w:cs="Calibri"/>
              </w:rPr>
              <w:t xml:space="preserve"> 4 </w:t>
            </w:r>
            <w:r>
              <w:rPr>
                <w:rFonts w:ascii="Calibri" w:hAnsi="Calibri" w:cs="Calibri"/>
              </w:rPr>
              <w:t>settimane e relate al trattamento più recente;</w:t>
            </w:r>
          </w:p>
          <w:p w14:paraId="2626AB78" w14:textId="77777777" w:rsidR="00302BD6" w:rsidRPr="00A948CC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 pazienti non devono avere una diagnosi di infezione</w:t>
            </w:r>
            <w:r w:rsidRPr="00AA1299">
              <w:rPr>
                <w:rFonts w:ascii="Calibri" w:hAnsi="Calibri" w:cs="Calibri"/>
              </w:rPr>
              <w:t xml:space="preserve"> da Sars-CoV-2 al momento dello screening</w:t>
            </w:r>
            <w:r>
              <w:rPr>
                <w:rFonts w:ascii="Calibri" w:hAnsi="Calibri" w:cs="Calibri"/>
              </w:rPr>
              <w:t>;</w:t>
            </w:r>
          </w:p>
          <w:p w14:paraId="348CD929" w14:textId="77777777" w:rsidR="00302BD6" w:rsidRPr="00A948CC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Pazienti con storia nota di sindrome </w:t>
            </w:r>
            <w:proofErr w:type="spellStart"/>
            <w:r>
              <w:rPr>
                <w:rFonts w:ascii="Calibri" w:hAnsi="Calibri" w:cs="Calibri"/>
              </w:rPr>
              <w:t>mielodisplastica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A948CC">
              <w:rPr>
                <w:rFonts w:ascii="Calibri" w:hAnsi="Calibri" w:cs="Calibri"/>
              </w:rPr>
              <w:t xml:space="preserve">(MDS) </w:t>
            </w:r>
            <w:r>
              <w:rPr>
                <w:rFonts w:ascii="Calibri" w:hAnsi="Calibri" w:cs="Calibri"/>
              </w:rPr>
              <w:t>o leucemia mieloide acuta</w:t>
            </w:r>
            <w:r w:rsidRPr="00A948CC">
              <w:rPr>
                <w:rFonts w:ascii="Calibri" w:hAnsi="Calibri" w:cs="Calibri"/>
              </w:rPr>
              <w:t xml:space="preserve"> (AML)</w:t>
            </w:r>
            <w:r>
              <w:rPr>
                <w:rFonts w:ascii="Calibri" w:hAnsi="Calibri" w:cs="Calibri"/>
              </w:rPr>
              <w:t>;</w:t>
            </w:r>
          </w:p>
          <w:p w14:paraId="6866A1E5" w14:textId="77777777" w:rsidR="00302BD6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Pazienti con patologie gravi ed incontrollate, patologie non-maligne sistemiche o infezioni attive non controllate. Esempi includono, ma non sono limitati ad aritmia ventricolare incontrollata</w:t>
            </w:r>
            <w:r w:rsidRPr="00A948CC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recente</w:t>
            </w:r>
            <w:r w:rsidRPr="00A948C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infarto del miocardio (nei precedenti</w:t>
            </w:r>
            <w:r w:rsidRPr="00A948CC">
              <w:rPr>
                <w:rFonts w:ascii="Calibri" w:hAnsi="Calibri" w:cs="Calibri"/>
              </w:rPr>
              <w:t xml:space="preserve"> 90 </w:t>
            </w:r>
            <w:r>
              <w:rPr>
                <w:rFonts w:ascii="Calibri" w:hAnsi="Calibri" w:cs="Calibri"/>
              </w:rPr>
              <w:t>giorni</w:t>
            </w:r>
            <w:r w:rsidRPr="00A948CC">
              <w:rPr>
                <w:rFonts w:ascii="Calibri" w:hAnsi="Calibri" w:cs="Calibri"/>
              </w:rPr>
              <w:t xml:space="preserve">), </w:t>
            </w:r>
            <w:r w:rsidRPr="00D42D69">
              <w:rPr>
                <w:rFonts w:ascii="Calibri" w:hAnsi="Calibri" w:cs="Calibri"/>
              </w:rPr>
              <w:t>disturbo convulsivo maggiore incontrollato, compressione instabile del midollo spinale, sindrome della vena cava</w:t>
            </w:r>
            <w:r>
              <w:rPr>
                <w:rFonts w:ascii="Calibri" w:hAnsi="Calibri" w:cs="Calibri"/>
              </w:rPr>
              <w:t xml:space="preserve"> </w:t>
            </w:r>
            <w:r w:rsidRPr="00D42D69">
              <w:rPr>
                <w:rFonts w:ascii="Calibri" w:hAnsi="Calibri" w:cs="Calibri"/>
              </w:rPr>
              <w:t xml:space="preserve">superiore o qualsiasi disturbo psichiatrico che </w:t>
            </w:r>
            <w:r>
              <w:rPr>
                <w:rFonts w:ascii="Calibri" w:hAnsi="Calibri" w:cs="Calibri"/>
              </w:rPr>
              <w:t>impedisca</w:t>
            </w:r>
            <w:r w:rsidRPr="00D42D69">
              <w:rPr>
                <w:rFonts w:ascii="Calibri" w:hAnsi="Calibri" w:cs="Calibri"/>
              </w:rPr>
              <w:t xml:space="preserve"> di ottenere il consenso informato</w:t>
            </w:r>
            <w:r>
              <w:rPr>
                <w:rFonts w:ascii="Calibri" w:hAnsi="Calibri" w:cs="Calibri"/>
              </w:rPr>
              <w:t>;</w:t>
            </w:r>
          </w:p>
          <w:p w14:paraId="2655D7F9" w14:textId="77777777" w:rsidR="00302BD6" w:rsidRPr="00A948CC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Pazienti con diagnosi o trattamento di un altro tipo di tumore nei</w:t>
            </w:r>
            <w:r w:rsidRPr="00A948CC">
              <w:rPr>
                <w:rFonts w:ascii="Calibri" w:hAnsi="Calibri" w:cs="Calibri"/>
              </w:rPr>
              <w:t xml:space="preserve"> 3 </w:t>
            </w:r>
            <w:r>
              <w:rPr>
                <w:rFonts w:ascii="Calibri" w:hAnsi="Calibri" w:cs="Calibri"/>
              </w:rPr>
              <w:t>anni prima dell’inizio del trattamento in studio</w:t>
            </w:r>
            <w:r w:rsidRPr="00A948CC">
              <w:rPr>
                <w:rFonts w:ascii="Calibri" w:hAnsi="Calibri" w:cs="Calibri"/>
              </w:rPr>
              <w:t xml:space="preserve"> (</w:t>
            </w:r>
            <w:r>
              <w:rPr>
                <w:rFonts w:ascii="Calibri" w:hAnsi="Calibri" w:cs="Calibri"/>
              </w:rPr>
              <w:t>fanno eccezione il carcinoma a cellule basali o squamose della pelle</w:t>
            </w:r>
            <w:r w:rsidRPr="00A948C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e il carcinoma della cervice definitivamente trattato);</w:t>
            </w:r>
          </w:p>
          <w:p w14:paraId="464B1FFB" w14:textId="77777777" w:rsidR="00302BD6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 w:rsidRPr="001F7428">
              <w:rPr>
                <w:rFonts w:ascii="Calibri" w:hAnsi="Calibri" w:cs="Calibri"/>
              </w:rPr>
              <w:t>Pazienti per cui sono note metastasi cerebrali o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metastatsi</w:t>
            </w:r>
            <w:proofErr w:type="spellEnd"/>
            <w:r w:rsidRPr="001F7428">
              <w:rPr>
                <w:rFonts w:ascii="Calibri" w:hAnsi="Calibri" w:cs="Calibri"/>
              </w:rPr>
              <w:t xml:space="preserve"> </w:t>
            </w:r>
            <w:proofErr w:type="spellStart"/>
            <w:r w:rsidRPr="001F7428">
              <w:rPr>
                <w:rFonts w:ascii="Calibri" w:hAnsi="Calibri" w:cs="Calibri"/>
              </w:rPr>
              <w:t>leptomeningee</w:t>
            </w:r>
            <w:proofErr w:type="spellEnd"/>
            <w:r w:rsidRPr="001F7428">
              <w:rPr>
                <w:rFonts w:ascii="Calibri" w:hAnsi="Calibri" w:cs="Calibri"/>
              </w:rPr>
              <w:t xml:space="preserve"> sintomatich</w:t>
            </w:r>
            <w:r>
              <w:rPr>
                <w:rFonts w:ascii="Calibri" w:hAnsi="Calibri" w:cs="Calibri"/>
              </w:rPr>
              <w:t>e;</w:t>
            </w:r>
          </w:p>
          <w:p w14:paraId="4B16C6AF" w14:textId="77777777" w:rsidR="00302BD6" w:rsidRPr="001F7428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Pazienti che abbiano sperimentato Eventi avversi </w:t>
            </w:r>
            <w:proofErr w:type="spellStart"/>
            <w:r>
              <w:rPr>
                <w:rFonts w:ascii="Calibri" w:hAnsi="Calibri" w:cs="Calibri"/>
              </w:rPr>
              <w:t>immuno</w:t>
            </w:r>
            <w:proofErr w:type="spellEnd"/>
            <w:r>
              <w:rPr>
                <w:rFonts w:ascii="Calibri" w:hAnsi="Calibri" w:cs="Calibri"/>
              </w:rPr>
              <w:t xml:space="preserve">-relati </w:t>
            </w:r>
            <w:r w:rsidRPr="001F7428">
              <w:rPr>
                <w:rFonts w:ascii="Calibri" w:hAnsi="Calibri" w:cs="Calibri"/>
              </w:rPr>
              <w:t>≥ Grad</w:t>
            </w:r>
            <w:r>
              <w:rPr>
                <w:rFonts w:ascii="Calibri" w:hAnsi="Calibri" w:cs="Calibri"/>
              </w:rPr>
              <w:t>o 2</w:t>
            </w:r>
            <w:r w:rsidRPr="001F742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in seguito a precedente immunoterapia, fatta eccezione per valori di laboratorio con valori non clinicamente significativi;</w:t>
            </w:r>
          </w:p>
          <w:p w14:paraId="43D113FF" w14:textId="77777777" w:rsidR="00302BD6" w:rsidRPr="00A948CC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Pazienti con diagnosi di immunodeficienza </w:t>
            </w:r>
            <w:r w:rsidRPr="0068634B">
              <w:rPr>
                <w:rFonts w:ascii="Calibri" w:hAnsi="Calibri" w:cs="Calibri"/>
              </w:rPr>
              <w:t xml:space="preserve">o </w:t>
            </w:r>
            <w:r>
              <w:rPr>
                <w:rFonts w:ascii="Calibri" w:hAnsi="Calibri" w:cs="Calibri"/>
              </w:rPr>
              <w:t xml:space="preserve">di </w:t>
            </w:r>
            <w:r w:rsidRPr="0068634B">
              <w:rPr>
                <w:rFonts w:ascii="Calibri" w:hAnsi="Calibri" w:cs="Calibri"/>
              </w:rPr>
              <w:t xml:space="preserve">malattia autoimmune attiva che ha richiesto un trattamento </w:t>
            </w:r>
            <w:r w:rsidRPr="0068634B">
              <w:rPr>
                <w:rFonts w:ascii="Calibri" w:hAnsi="Calibri" w:cs="Calibri"/>
              </w:rPr>
              <w:lastRenderedPageBreak/>
              <w:t>sistemico negli ultimi 2 anni (cioè, con l'uso di agenti modificanti la malattia, corticosteroidi o farmaci immunosoppressori)</w:t>
            </w:r>
            <w:r>
              <w:rPr>
                <w:rFonts w:ascii="Calibri" w:hAnsi="Calibri" w:cs="Calibri"/>
              </w:rPr>
              <w:t xml:space="preserve"> o che abbiano ricevuto una terapia steroidea sistemica a</w:t>
            </w:r>
            <w:r w:rsidRPr="00025229">
              <w:rPr>
                <w:rFonts w:ascii="Calibri" w:hAnsi="Calibri" w:cs="Calibri"/>
              </w:rPr>
              <w:t xml:space="preserve"> dose &gt; 10 mg/</w:t>
            </w:r>
            <w:proofErr w:type="spellStart"/>
            <w:r w:rsidRPr="00025229">
              <w:rPr>
                <w:rFonts w:ascii="Calibri" w:hAnsi="Calibri" w:cs="Calibri"/>
              </w:rPr>
              <w:t>day</w:t>
            </w:r>
            <w:proofErr w:type="spellEnd"/>
            <w:r w:rsidRPr="00A948C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 qualsiasi altra terapia immunosoppressiva</w:t>
            </w:r>
            <w:r w:rsidRPr="00A948C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entro 7 giorni prima dell’inizio del trattamento. </w:t>
            </w:r>
            <w:r w:rsidRPr="0068634B">
              <w:rPr>
                <w:rFonts w:ascii="Calibri" w:hAnsi="Calibri" w:cs="Calibri"/>
              </w:rPr>
              <w:t>È consentito il trattamento locale o sistemico con corticosteroidi a</w:t>
            </w:r>
            <w:r>
              <w:rPr>
                <w:rFonts w:ascii="Calibri" w:hAnsi="Calibri" w:cs="Calibri"/>
              </w:rPr>
              <w:t>d</w:t>
            </w:r>
            <w:r w:rsidRPr="0068634B">
              <w:rPr>
                <w:rFonts w:ascii="Calibri" w:hAnsi="Calibri" w:cs="Calibri"/>
              </w:rPr>
              <w:t xml:space="preserve"> un dosaggio inferiore o uguale a 10 mg/die. La terapia sostitutiva (ad es. tiroxina, insulina o terapia fisiologica sostitutiva con corticosteroidi per insufficienza surrenalica o ipofisaria ecc.) non è considerata una forma di trattamento sistemico</w:t>
            </w:r>
            <w:r>
              <w:rPr>
                <w:rFonts w:ascii="Calibri" w:hAnsi="Calibri" w:cs="Calibri"/>
              </w:rPr>
              <w:t>;</w:t>
            </w:r>
          </w:p>
          <w:p w14:paraId="46F8F11B" w14:textId="77777777" w:rsidR="00302BD6" w:rsidRPr="00A948CC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Pazienti con storia nota di infezione da virus dell’immunodeficienza </w:t>
            </w:r>
            <w:r w:rsidRPr="00A948CC">
              <w:rPr>
                <w:rFonts w:ascii="Calibri" w:hAnsi="Calibri" w:cs="Calibri"/>
              </w:rPr>
              <w:t>(t</w:t>
            </w:r>
            <w:r>
              <w:rPr>
                <w:rFonts w:ascii="Calibri" w:hAnsi="Calibri" w:cs="Calibri"/>
              </w:rPr>
              <w:t>ipo</w:t>
            </w:r>
            <w:r w:rsidRPr="00A948CC">
              <w:rPr>
                <w:rFonts w:ascii="Calibri" w:hAnsi="Calibri" w:cs="Calibri"/>
              </w:rPr>
              <w:t xml:space="preserve"> 1 o</w:t>
            </w:r>
            <w:r>
              <w:rPr>
                <w:rFonts w:ascii="Calibri" w:hAnsi="Calibri" w:cs="Calibri"/>
              </w:rPr>
              <w:t xml:space="preserve"> </w:t>
            </w:r>
            <w:r w:rsidRPr="00A948CC">
              <w:rPr>
                <w:rFonts w:ascii="Calibri" w:hAnsi="Calibri" w:cs="Calibri"/>
              </w:rPr>
              <w:t xml:space="preserve">2).             </w:t>
            </w:r>
          </w:p>
          <w:p w14:paraId="59FF0B56" w14:textId="77777777" w:rsidR="00302BD6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 w:rsidRPr="00072C09">
              <w:rPr>
                <w:rFonts w:ascii="Calibri" w:hAnsi="Calibri" w:cs="Calibri"/>
              </w:rPr>
              <w:t>Pazienti con nota infezione attiva del virus dell’epatite B o C</w:t>
            </w:r>
            <w:r>
              <w:rPr>
                <w:rFonts w:ascii="Calibri" w:hAnsi="Calibri" w:cs="Calibri"/>
              </w:rPr>
              <w:t>;</w:t>
            </w:r>
          </w:p>
          <w:p w14:paraId="2862B6D7" w14:textId="77777777" w:rsidR="00302BD6" w:rsidRPr="00ED25C5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Pazienti con </w:t>
            </w:r>
            <w:r w:rsidRPr="0068634B">
              <w:rPr>
                <w:rFonts w:ascii="Calibri" w:hAnsi="Calibri" w:cs="Calibri"/>
              </w:rPr>
              <w:t>infezione attiva che richiede una terapia sistemica</w:t>
            </w:r>
          </w:p>
          <w:p w14:paraId="6E0D0C5A" w14:textId="77777777" w:rsidR="00302BD6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Pazienti con storia nota di malattia polmonare interstiziale;</w:t>
            </w:r>
          </w:p>
          <w:p w14:paraId="059FC605" w14:textId="77777777" w:rsidR="00302BD6" w:rsidRPr="00A948CC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Pazienti che abbiano</w:t>
            </w:r>
            <w:r w:rsidRPr="008E0AAF">
              <w:rPr>
                <w:rFonts w:ascii="Calibri" w:hAnsi="Calibri" w:cs="Calibri"/>
              </w:rPr>
              <w:t xml:space="preserve"> subito un trapianto allogenico di tessuto/organo solido.</w:t>
            </w:r>
          </w:p>
          <w:p w14:paraId="5D7C61E4" w14:textId="77777777" w:rsidR="00302BD6" w:rsidRPr="00A07521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</w:pPr>
            <w:r>
              <w:rPr>
                <w:rFonts w:ascii="Calibri" w:hAnsi="Calibri" w:cs="Calibri"/>
              </w:rPr>
              <w:t xml:space="preserve">Pazienti con storia o evidenza di ogni qualsiasi condizione, terapia o anomalie di laboratorio che potrebbero confondere i risultati dello studio, interferendo con la partecipazione delle pazienti per tutta la durata dello studio o nel caso in cui, a giudizio del medico Sperimentatore, </w:t>
            </w:r>
            <w:r w:rsidRPr="005F201E">
              <w:rPr>
                <w:rFonts w:ascii="Calibri" w:hAnsi="Calibri" w:cs="Calibri"/>
              </w:rPr>
              <w:t>la partecipazione non sia nell’interesse delle pazienti</w:t>
            </w:r>
            <w:r>
              <w:rPr>
                <w:rFonts w:ascii="Calibri" w:hAnsi="Calibri" w:cs="Calibri"/>
              </w:rPr>
              <w:t>;</w:t>
            </w:r>
            <w:r w:rsidRPr="00072C09">
              <w:rPr>
                <w:rFonts w:ascii="Calibri" w:hAnsi="Calibri" w:cs="Calibri"/>
              </w:rPr>
              <w:t xml:space="preserve"> </w:t>
            </w:r>
          </w:p>
          <w:p w14:paraId="07C44AE3" w14:textId="77777777" w:rsidR="00302BD6" w:rsidRPr="00ED25C5" w:rsidRDefault="00302BD6" w:rsidP="00302BD6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</w:pPr>
            <w:r>
              <w:rPr>
                <w:rFonts w:ascii="Calibri" w:hAnsi="Calibri" w:cs="Calibri"/>
              </w:rPr>
              <w:t xml:space="preserve">Pazienti che abbiano ricevuto un vaccino attivo entro </w:t>
            </w:r>
            <w:r w:rsidRPr="00A948CC">
              <w:rPr>
                <w:rFonts w:ascii="Calibri" w:hAnsi="Calibri" w:cs="Calibri"/>
              </w:rPr>
              <w:t xml:space="preserve">30 </w:t>
            </w:r>
            <w:r>
              <w:rPr>
                <w:rFonts w:ascii="Calibri" w:hAnsi="Calibri" w:cs="Calibri"/>
              </w:rPr>
              <w:t>giorni</w:t>
            </w:r>
            <w:r w:rsidRPr="00A948C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prima dell’inizio del trattamento, </w:t>
            </w:r>
            <w:r w:rsidRPr="00C42B42">
              <w:rPr>
                <w:rFonts w:ascii="Calibri" w:hAnsi="Calibri" w:cs="Calibri"/>
              </w:rPr>
              <w:t>durante la partecipazione allo studio ed entro 90 giorni dall'ultima dose del farmaco in studio</w:t>
            </w:r>
            <w:r w:rsidRPr="00A948CC">
              <w:rPr>
                <w:rFonts w:ascii="Calibri" w:hAnsi="Calibri" w:cs="Calibri"/>
              </w:rPr>
              <w:t xml:space="preserve">. </w:t>
            </w:r>
            <w:r w:rsidRPr="00A07521">
              <w:rPr>
                <w:rFonts w:ascii="Calibri" w:hAnsi="Calibri" w:cs="Calibri"/>
              </w:rPr>
              <w:t xml:space="preserve">Nota: i vaccini antinfluenzali stagionali per iniezione sono generalmente vaccini inattivati e sono ammessi; tuttavia i vaccini antinfluenzali </w:t>
            </w:r>
            <w:proofErr w:type="spellStart"/>
            <w:r w:rsidRPr="00A07521">
              <w:rPr>
                <w:rFonts w:ascii="Calibri" w:hAnsi="Calibri" w:cs="Calibri"/>
              </w:rPr>
              <w:lastRenderedPageBreak/>
              <w:t>intranasali</w:t>
            </w:r>
            <w:proofErr w:type="spellEnd"/>
            <w:r w:rsidRPr="00A07521">
              <w:rPr>
                <w:rFonts w:ascii="Calibri" w:hAnsi="Calibri" w:cs="Calibri"/>
              </w:rPr>
              <w:t xml:space="preserve"> (ad es. </w:t>
            </w:r>
            <w:proofErr w:type="spellStart"/>
            <w:r w:rsidRPr="00A07521">
              <w:rPr>
                <w:rFonts w:ascii="Calibri" w:hAnsi="Calibri" w:cs="Calibri"/>
              </w:rPr>
              <w:t>Flu-Mist</w:t>
            </w:r>
            <w:proofErr w:type="spellEnd"/>
            <w:r w:rsidRPr="00A07521">
              <w:rPr>
                <w:rFonts w:ascii="Calibri" w:hAnsi="Calibri" w:cs="Calibri"/>
              </w:rPr>
              <w:t>®) sono vaccini vivi attenuati e non sono ammessi.</w:t>
            </w:r>
          </w:p>
          <w:p w14:paraId="497A8C29" w14:textId="4E8D5D1F" w:rsidR="006E6D43" w:rsidRPr="00302BD6" w:rsidRDefault="00302BD6" w:rsidP="006E6D43">
            <w:pPr>
              <w:numPr>
                <w:ilvl w:val="0"/>
                <w:numId w:val="12"/>
              </w:numPr>
              <w:spacing w:before="14" w:after="144" w:line="360" w:lineRule="auto"/>
              <w:ind w:right="110"/>
              <w:contextualSpacing/>
              <w:jc w:val="both"/>
              <w:rPr>
                <w:rFonts w:ascii="Calibri" w:hAnsi="Calibri" w:cs="Calibri"/>
              </w:rPr>
            </w:pPr>
            <w:r w:rsidRPr="00C42B42">
              <w:t xml:space="preserve">Donne in età fertile </w:t>
            </w:r>
            <w:r>
              <w:t>nel caso in cui non siano</w:t>
            </w:r>
            <w:r w:rsidRPr="00C42B42">
              <w:t xml:space="preserve"> d'accordo </w:t>
            </w:r>
            <w:r>
              <w:t>all’utilizzo</w:t>
            </w:r>
            <w:r w:rsidRPr="00C42B42">
              <w:t xml:space="preserve"> di metodi contraccettivi altamente efficaci</w:t>
            </w:r>
            <w:r>
              <w:t xml:space="preserve"> </w:t>
            </w:r>
            <w:r w:rsidRPr="00C42B42">
              <w:t xml:space="preserve">o </w:t>
            </w:r>
            <w:r>
              <w:t>ad astenersi</w:t>
            </w:r>
            <w:r w:rsidRPr="00C42B42">
              <w:t xml:space="preserve"> dai rapporti eterosessuali durante il periodo di trattamento e almeno 180 giorni dopo l'ultima dose di </w:t>
            </w:r>
            <w:proofErr w:type="spellStart"/>
            <w:r w:rsidRPr="00C42B42">
              <w:t>dostarlimab</w:t>
            </w:r>
            <w:proofErr w:type="spellEnd"/>
            <w:r w:rsidRPr="00C42B42">
              <w:t xml:space="preserve"> o </w:t>
            </w:r>
            <w:proofErr w:type="spellStart"/>
            <w:r w:rsidRPr="00C42B42">
              <w:t>niraparib</w:t>
            </w:r>
            <w:proofErr w:type="spellEnd"/>
            <w:r w:rsidRPr="00C42B42">
              <w:t xml:space="preserve"> e almeno 210 giorni dopo l'ultima dose di chemioterapia.</w:t>
            </w:r>
          </w:p>
        </w:tc>
      </w:tr>
    </w:tbl>
    <w:p w14:paraId="7A4DB40E" w14:textId="77777777" w:rsidR="00CA3BA2" w:rsidRDefault="00CA3BA2" w:rsidP="005C7179">
      <w:pPr>
        <w:jc w:val="both"/>
      </w:pPr>
    </w:p>
    <w:sectPr w:rsidR="00CA3B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53401"/>
    <w:multiLevelType w:val="hybridMultilevel"/>
    <w:tmpl w:val="F1005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5D15"/>
    <w:multiLevelType w:val="hybridMultilevel"/>
    <w:tmpl w:val="5A4C8784"/>
    <w:lvl w:ilvl="0" w:tplc="0410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3" w15:restartNumberingAfterBreak="0">
    <w:nsid w:val="08DA3342"/>
    <w:multiLevelType w:val="hybridMultilevel"/>
    <w:tmpl w:val="469A0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0920"/>
    <w:multiLevelType w:val="hybridMultilevel"/>
    <w:tmpl w:val="0A20B7BA"/>
    <w:lvl w:ilvl="0" w:tplc="025263F4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87A56"/>
    <w:multiLevelType w:val="hybridMultilevel"/>
    <w:tmpl w:val="EB2A3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33C7"/>
    <w:multiLevelType w:val="hybridMultilevel"/>
    <w:tmpl w:val="E02CA3E2"/>
    <w:lvl w:ilvl="0" w:tplc="B4C8D096">
      <w:start w:val="1"/>
      <w:numFmt w:val="decimal"/>
      <w:lvlText w:val="%1."/>
      <w:lvlJc w:val="left"/>
      <w:pPr>
        <w:ind w:left="720" w:hanging="360"/>
      </w:pPr>
      <w:rPr>
        <w:rFonts w:ascii="Calibri" w:eastAsia="MS Mincho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C2225"/>
    <w:multiLevelType w:val="hybridMultilevel"/>
    <w:tmpl w:val="3CA29A74"/>
    <w:lvl w:ilvl="0" w:tplc="53D69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0D76DC"/>
    <w:multiLevelType w:val="hybridMultilevel"/>
    <w:tmpl w:val="8F3EE8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13FD6"/>
    <w:multiLevelType w:val="hybridMultilevel"/>
    <w:tmpl w:val="DE68BB70"/>
    <w:lvl w:ilvl="0" w:tplc="3634D2B6">
      <w:start w:val="2"/>
      <w:numFmt w:val="bullet"/>
      <w:lvlText w:val="-"/>
      <w:lvlJc w:val="left"/>
      <w:pPr>
        <w:ind w:left="14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0" w15:restartNumberingAfterBreak="0">
    <w:nsid w:val="41B214EC"/>
    <w:multiLevelType w:val="hybridMultilevel"/>
    <w:tmpl w:val="BE90511C"/>
    <w:lvl w:ilvl="0" w:tplc="0410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1" w15:restartNumberingAfterBreak="0">
    <w:nsid w:val="6E6D152C"/>
    <w:multiLevelType w:val="hybridMultilevel"/>
    <w:tmpl w:val="FEEAE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A018B"/>
    <w:multiLevelType w:val="hybridMultilevel"/>
    <w:tmpl w:val="A59A81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1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A2"/>
    <w:rsid w:val="00003963"/>
    <w:rsid w:val="00302BD6"/>
    <w:rsid w:val="005C7179"/>
    <w:rsid w:val="00625463"/>
    <w:rsid w:val="006E6D43"/>
    <w:rsid w:val="007C23EE"/>
    <w:rsid w:val="007E07F9"/>
    <w:rsid w:val="00842AE2"/>
    <w:rsid w:val="0085221F"/>
    <w:rsid w:val="009C55ED"/>
    <w:rsid w:val="00BB7752"/>
    <w:rsid w:val="00CA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780A"/>
  <w15:chartTrackingRefBased/>
  <w15:docId w15:val="{30CF48B6-8BB8-4312-9076-FE4127FB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A3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625463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1"/>
    <w:locked/>
    <w:rsid w:val="009C55ED"/>
  </w:style>
  <w:style w:type="character" w:customStyle="1" w:styleId="CorpodeltestoCarattere">
    <w:name w:val="Corpo del testo Carattere"/>
    <w:rsid w:val="009C55ED"/>
    <w:rPr>
      <w:rFonts w:eastAsia="Times New Roman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di giacomo</dc:creator>
  <cp:keywords/>
  <dc:description/>
  <cp:lastModifiedBy>Serena Giolitto</cp:lastModifiedBy>
  <cp:revision>2</cp:revision>
  <dcterms:created xsi:type="dcterms:W3CDTF">2023-02-15T10:57:00Z</dcterms:created>
  <dcterms:modified xsi:type="dcterms:W3CDTF">2023-02-15T10:57:00Z</dcterms:modified>
</cp:coreProperties>
</file>