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A2" w:rsidRPr="00CA3BA2" w:rsidRDefault="00CA3BA2" w:rsidP="00CA3BA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4"/>
      </w:tblGrid>
      <w:tr w:rsidR="00CA3BA2" w:rsidRPr="00F416F1" w:rsidTr="005C7179">
        <w:trPr>
          <w:trHeight w:val="477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  <w:b/>
                <w:bCs/>
              </w:rPr>
              <w:t xml:space="preserve">Titolo dello studio </w:t>
            </w:r>
          </w:p>
        </w:tc>
        <w:tc>
          <w:tcPr>
            <w:tcW w:w="4714" w:type="dxa"/>
          </w:tcPr>
          <w:p w:rsidR="00CA3BA2" w:rsidRPr="00F416F1" w:rsidRDefault="00BD1F2A" w:rsidP="00BD1F2A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sz w:val="24"/>
                <w:szCs w:val="24"/>
              </w:rPr>
              <w:t xml:space="preserve">MITO 35a: </w:t>
            </w:r>
            <w:r w:rsidR="000F678E" w:rsidRPr="00F416F1">
              <w:rPr>
                <w:rFonts w:ascii="Times New Roman" w:hAnsi="Times New Roman" w:cs="Times New Roman"/>
              </w:rPr>
              <w:t>STUDIO MULTICENTRICO, PROSPETTICO, A SINGOLO BRACCIO, DI OLAPARIB COME TERAPIA DI MANTENIMENTO IN PAZIENTI BRCA WILD TYPE CON NUOVA DIAGNOSI DI CARCINOMA AVANZATO OVARICO, DELLE TUBE DI FALLOPPIO E PRIMITIVO DEL PERITONEO.</w:t>
            </w:r>
          </w:p>
        </w:tc>
        <w:bookmarkStart w:id="0" w:name="_GoBack"/>
        <w:bookmarkEnd w:id="0"/>
      </w:tr>
      <w:tr w:rsidR="00CA3BA2" w:rsidRPr="00F416F1" w:rsidTr="005C7179">
        <w:trPr>
          <w:trHeight w:val="224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Versione e data del protocollo </w:t>
            </w:r>
          </w:p>
        </w:tc>
        <w:tc>
          <w:tcPr>
            <w:tcW w:w="4714" w:type="dxa"/>
          </w:tcPr>
          <w:p w:rsidR="00BD1F2A" w:rsidRPr="00F416F1" w:rsidRDefault="00BD1F2A" w:rsidP="00BD1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6F1">
              <w:rPr>
                <w:rFonts w:ascii="Times New Roman" w:hAnsi="Times New Roman" w:cs="Times New Roman"/>
                <w:sz w:val="20"/>
                <w:szCs w:val="20"/>
              </w:rPr>
              <w:t>Version n. 2</w:t>
            </w:r>
          </w:p>
          <w:p w:rsidR="00CA3BA2" w:rsidRPr="00F416F1" w:rsidRDefault="00BD1F2A" w:rsidP="00BD1F2A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sz w:val="20"/>
                <w:szCs w:val="20"/>
              </w:rPr>
              <w:t>20 March, 2022</w:t>
            </w:r>
          </w:p>
        </w:tc>
      </w:tr>
      <w:tr w:rsidR="00CA3BA2" w:rsidRPr="00F416F1" w:rsidTr="005C7179">
        <w:trPr>
          <w:trHeight w:val="477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Pazienti in studio </w:t>
            </w:r>
          </w:p>
        </w:tc>
        <w:tc>
          <w:tcPr>
            <w:tcW w:w="4714" w:type="dxa"/>
          </w:tcPr>
          <w:p w:rsidR="00CA3BA2" w:rsidRPr="00F416F1" w:rsidRDefault="00D975C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P</w:t>
            </w:r>
            <w:r w:rsidR="00650F49" w:rsidRPr="00F416F1">
              <w:rPr>
                <w:rFonts w:ascii="Times New Roman" w:hAnsi="Times New Roman" w:cs="Times New Roman"/>
              </w:rPr>
              <w:t xml:space="preserve">azienti con nuova diagnosi di carcinoma epiteliale avanzato ovarico, delle tube di </w:t>
            </w:r>
            <w:proofErr w:type="spellStart"/>
            <w:r w:rsidR="00650F49" w:rsidRPr="00F416F1">
              <w:rPr>
                <w:rFonts w:ascii="Times New Roman" w:hAnsi="Times New Roman" w:cs="Times New Roman"/>
              </w:rPr>
              <w:t>Falloppio</w:t>
            </w:r>
            <w:proofErr w:type="spellEnd"/>
            <w:r w:rsidR="00650F49" w:rsidRPr="00F416F1">
              <w:rPr>
                <w:rFonts w:ascii="Times New Roman" w:hAnsi="Times New Roman" w:cs="Times New Roman"/>
              </w:rPr>
              <w:t xml:space="preserve"> e primitivo peritoneale BRCA wild </w:t>
            </w:r>
            <w:proofErr w:type="spellStart"/>
            <w:r w:rsidR="00650F49" w:rsidRPr="00F416F1">
              <w:rPr>
                <w:rFonts w:ascii="Times New Roman" w:hAnsi="Times New Roman" w:cs="Times New Roman"/>
              </w:rPr>
              <w:t>type</w:t>
            </w:r>
            <w:proofErr w:type="spellEnd"/>
            <w:r w:rsidR="00650F49" w:rsidRPr="00F416F1">
              <w:rPr>
                <w:rFonts w:ascii="Times New Roman" w:hAnsi="Times New Roman" w:cs="Times New Roman"/>
              </w:rPr>
              <w:t>, in risposta parziale o completa alla chemioterapia di prima linea a base di platino</w:t>
            </w:r>
          </w:p>
        </w:tc>
      </w:tr>
      <w:tr w:rsidR="00CA3BA2" w:rsidRPr="00F416F1" w:rsidTr="005C7179">
        <w:trPr>
          <w:trHeight w:val="165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Gruppo di intervento </w:t>
            </w:r>
          </w:p>
        </w:tc>
        <w:tc>
          <w:tcPr>
            <w:tcW w:w="4714" w:type="dxa"/>
          </w:tcPr>
          <w:p w:rsidR="00CA3BA2" w:rsidRPr="00F416F1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OLAPARIB </w:t>
            </w:r>
          </w:p>
        </w:tc>
      </w:tr>
      <w:tr w:rsidR="00CA3BA2" w:rsidRPr="00F416F1" w:rsidTr="005C7179">
        <w:trPr>
          <w:trHeight w:val="165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Gruppo di controllo </w:t>
            </w:r>
          </w:p>
        </w:tc>
        <w:tc>
          <w:tcPr>
            <w:tcW w:w="4714" w:type="dxa"/>
          </w:tcPr>
          <w:p w:rsidR="00CA3BA2" w:rsidRPr="00F416F1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NA</w:t>
            </w:r>
          </w:p>
        </w:tc>
      </w:tr>
      <w:tr w:rsidR="00CA3BA2" w:rsidRPr="00F416F1" w:rsidTr="005C7179">
        <w:trPr>
          <w:trHeight w:val="479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Promotore </w:t>
            </w:r>
          </w:p>
        </w:tc>
        <w:tc>
          <w:tcPr>
            <w:tcW w:w="4714" w:type="dxa"/>
          </w:tcPr>
          <w:p w:rsidR="00CA3BA2" w:rsidRPr="00F416F1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Istituto Nazionale</w:t>
            </w:r>
            <w:r w:rsidR="00650F49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Tumori, IRCCS, Fondazione “</w:t>
            </w:r>
            <w:proofErr w:type="spellStart"/>
            <w:r w:rsidRPr="00F416F1">
              <w:rPr>
                <w:rFonts w:ascii="Times New Roman" w:hAnsi="Times New Roman" w:cs="Times New Roman"/>
              </w:rPr>
              <w:t>G.Pascale</w:t>
            </w:r>
            <w:proofErr w:type="spellEnd"/>
            <w:r w:rsidRPr="00F416F1">
              <w:rPr>
                <w:rFonts w:ascii="Times New Roman" w:hAnsi="Times New Roman" w:cs="Times New Roman"/>
              </w:rPr>
              <w:t>” Napoli</w:t>
            </w:r>
          </w:p>
        </w:tc>
      </w:tr>
      <w:tr w:rsidR="00CA3BA2" w:rsidRPr="00F416F1" w:rsidTr="005C7179">
        <w:trPr>
          <w:trHeight w:val="605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Centro Coordinatore </w:t>
            </w:r>
          </w:p>
        </w:tc>
        <w:tc>
          <w:tcPr>
            <w:tcW w:w="4714" w:type="dxa"/>
          </w:tcPr>
          <w:p w:rsidR="00CA3BA2" w:rsidRPr="00F416F1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Istituto Nazionale</w:t>
            </w:r>
            <w:r w:rsidR="00650F49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Tumori, IRCCS, Fondazione “</w:t>
            </w:r>
            <w:proofErr w:type="spellStart"/>
            <w:r w:rsidRPr="00F416F1">
              <w:rPr>
                <w:rFonts w:ascii="Times New Roman" w:hAnsi="Times New Roman" w:cs="Times New Roman"/>
              </w:rPr>
              <w:t>G.Pascale</w:t>
            </w:r>
            <w:proofErr w:type="spellEnd"/>
            <w:r w:rsidRPr="00F416F1">
              <w:rPr>
                <w:rFonts w:ascii="Times New Roman" w:hAnsi="Times New Roman" w:cs="Times New Roman"/>
              </w:rPr>
              <w:t>” Napoli</w:t>
            </w:r>
          </w:p>
        </w:tc>
      </w:tr>
      <w:tr w:rsidR="00CA3BA2" w:rsidRPr="00F416F1" w:rsidTr="005C7179">
        <w:trPr>
          <w:trHeight w:val="272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16F1">
              <w:rPr>
                <w:rFonts w:ascii="Times New Roman" w:hAnsi="Times New Roman" w:cs="Times New Roman"/>
                <w:b/>
                <w:bCs/>
              </w:rPr>
              <w:t>Clinical</w:t>
            </w:r>
            <w:proofErr w:type="spellEnd"/>
            <w:r w:rsidRPr="00F416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  <w:b/>
                <w:bCs/>
              </w:rPr>
              <w:t>Research</w:t>
            </w:r>
            <w:proofErr w:type="spellEnd"/>
            <w:r w:rsidRPr="00F416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Organization (CRO) </w:t>
            </w:r>
          </w:p>
        </w:tc>
        <w:tc>
          <w:tcPr>
            <w:tcW w:w="4714" w:type="dxa"/>
          </w:tcPr>
          <w:p w:rsidR="00CA3BA2" w:rsidRPr="00F416F1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NA</w:t>
            </w:r>
          </w:p>
        </w:tc>
      </w:tr>
      <w:tr w:rsidR="00CA3BA2" w:rsidRPr="00F416F1" w:rsidTr="005C7179">
        <w:trPr>
          <w:trHeight w:val="99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Centri partecipanti </w:t>
            </w:r>
          </w:p>
        </w:tc>
        <w:tc>
          <w:tcPr>
            <w:tcW w:w="4714" w:type="dxa"/>
          </w:tcPr>
          <w:p w:rsidR="00CA3BA2" w:rsidRPr="00F416F1" w:rsidRDefault="000F678E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49</w:t>
            </w:r>
          </w:p>
        </w:tc>
      </w:tr>
      <w:tr w:rsidR="00CA3BA2" w:rsidRPr="00F416F1" w:rsidTr="005C7179">
        <w:trPr>
          <w:trHeight w:val="99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Numero di soggetti </w:t>
            </w:r>
          </w:p>
        </w:tc>
        <w:tc>
          <w:tcPr>
            <w:tcW w:w="4714" w:type="dxa"/>
          </w:tcPr>
          <w:p w:rsidR="00CA3BA2" w:rsidRPr="00F416F1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200</w:t>
            </w:r>
          </w:p>
        </w:tc>
      </w:tr>
      <w:tr w:rsidR="00CA3BA2" w:rsidRPr="00F416F1" w:rsidTr="005C7179">
        <w:trPr>
          <w:trHeight w:val="605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Durata dello studio </w:t>
            </w:r>
          </w:p>
        </w:tc>
        <w:tc>
          <w:tcPr>
            <w:tcW w:w="4714" w:type="dxa"/>
          </w:tcPr>
          <w:p w:rsidR="00CA3BA2" w:rsidRPr="00F416F1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Una stima della durata totale dello studio è 48 mesi.</w:t>
            </w:r>
          </w:p>
        </w:tc>
      </w:tr>
      <w:tr w:rsidR="00CA3BA2" w:rsidRPr="00F416F1" w:rsidTr="005C7179">
        <w:trPr>
          <w:trHeight w:val="99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Periodo di arruolamento </w:t>
            </w:r>
          </w:p>
        </w:tc>
        <w:tc>
          <w:tcPr>
            <w:tcW w:w="4714" w:type="dxa"/>
          </w:tcPr>
          <w:p w:rsidR="00CA3BA2" w:rsidRPr="00F416F1" w:rsidRDefault="000F678E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24 mesi</w:t>
            </w:r>
          </w:p>
        </w:tc>
      </w:tr>
      <w:tr w:rsidR="00CA3BA2" w:rsidRPr="00F416F1" w:rsidTr="005C7179">
        <w:trPr>
          <w:trHeight w:val="99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Disegno dello studio </w:t>
            </w:r>
          </w:p>
        </w:tc>
        <w:tc>
          <w:tcPr>
            <w:tcW w:w="4714" w:type="dxa"/>
          </w:tcPr>
          <w:p w:rsidR="00CA3BA2" w:rsidRPr="00F416F1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Studio di fase 2 multicentrico, prospettico, a braccio singolo, in cui pazienti con nuova diagnosi di carcinoma epiteliale avanzato ovarico, delle tube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Falloppio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e primitivo peritoneale BRCA wild </w:t>
            </w:r>
            <w:proofErr w:type="spellStart"/>
            <w:r w:rsidRPr="00F416F1">
              <w:rPr>
                <w:rFonts w:ascii="Times New Roman" w:hAnsi="Times New Roman" w:cs="Times New Roman"/>
              </w:rPr>
              <w:t>type</w:t>
            </w:r>
            <w:proofErr w:type="spellEnd"/>
            <w:r w:rsidRPr="00F416F1">
              <w:rPr>
                <w:rFonts w:ascii="Times New Roman" w:hAnsi="Times New Roman" w:cs="Times New Roman"/>
              </w:rPr>
              <w:t>, in risposta parziale o completa alla chemioterapia di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 xml:space="preserve">prima linea a base di platino, riceveranno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come terapia di mantenimento.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Le pazienti in risposta completa, senza evidenza di progressione di malattia,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 xml:space="preserve">termineranno il mantenimento con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dopo 24 mesi. Le pazienti con evidenza di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 xml:space="preserve">malattia stabile, potranno continuare a ricevere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oltre i 24 mesi, se questo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è 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nel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migliore interesse </w:t>
            </w:r>
            <w:r w:rsidRPr="00F416F1">
              <w:rPr>
                <w:rFonts w:ascii="Times New Roman" w:hAnsi="Times New Roman" w:cs="Times New Roman"/>
              </w:rPr>
              <w:lastRenderedPageBreak/>
              <w:t>per la paziente. secondo l’opinione del medico dello studio, ed in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accordo con il Promotore</w:t>
            </w:r>
          </w:p>
        </w:tc>
      </w:tr>
      <w:tr w:rsidR="00CA3BA2" w:rsidRPr="00F416F1" w:rsidTr="005C7179">
        <w:trPr>
          <w:trHeight w:val="734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Obiettivo primario </w:t>
            </w:r>
          </w:p>
        </w:tc>
        <w:tc>
          <w:tcPr>
            <w:tcW w:w="4714" w:type="dxa"/>
          </w:tcPr>
          <w:p w:rsidR="00CA3BA2" w:rsidRPr="00F416F1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Descrivere l'efficacia dell’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come trattamento di mantenimento in prima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linea e valutare il valore prognostico delle caratteristiche cliniche e biologiche dei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 xml:space="preserve">pazienti e dei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biomarcatori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tumorali, in termini di PFS.</w:t>
            </w:r>
          </w:p>
        </w:tc>
      </w:tr>
      <w:tr w:rsidR="00CA3BA2" w:rsidRPr="00F416F1" w:rsidTr="005C7179">
        <w:trPr>
          <w:trHeight w:val="734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Obiettivi secondari </w:t>
            </w:r>
          </w:p>
        </w:tc>
        <w:tc>
          <w:tcPr>
            <w:tcW w:w="4714" w:type="dxa"/>
          </w:tcPr>
          <w:p w:rsidR="00CA3BA2" w:rsidRPr="00F416F1" w:rsidRDefault="000F678E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sym w:font="Symbol" w:char="F0B7"/>
            </w:r>
            <w:r w:rsidRPr="00F416F1">
              <w:rPr>
                <w:rFonts w:ascii="Times New Roman" w:hAnsi="Times New Roman" w:cs="Times New Roman"/>
              </w:rPr>
              <w:t xml:space="preserve"> Valutare l’efficacia di un trattamento successivo, dopo la progressione ad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sulla PFS (PFS2); </w:t>
            </w:r>
            <w:r w:rsidRPr="00F416F1">
              <w:rPr>
                <w:rFonts w:ascii="Times New Roman" w:hAnsi="Times New Roman" w:cs="Times New Roman"/>
              </w:rPr>
              <w:sym w:font="Symbol" w:char="F0B7"/>
            </w:r>
            <w:r w:rsidRPr="00F416F1">
              <w:rPr>
                <w:rFonts w:ascii="Times New Roman" w:hAnsi="Times New Roman" w:cs="Times New Roman"/>
              </w:rPr>
              <w:t xml:space="preserve"> Valutare l’efficacia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come terapia di mantenimento in prima linea in termini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disopravvivenza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globale (OS); </w:t>
            </w:r>
            <w:r w:rsidRPr="00F416F1">
              <w:rPr>
                <w:rFonts w:ascii="Times New Roman" w:hAnsi="Times New Roman" w:cs="Times New Roman"/>
              </w:rPr>
              <w:sym w:font="Symbol" w:char="F0B7"/>
            </w:r>
            <w:r w:rsidRPr="00F416F1">
              <w:rPr>
                <w:rFonts w:ascii="Times New Roman" w:hAnsi="Times New Roman" w:cs="Times New Roman"/>
              </w:rPr>
              <w:t xml:space="preserve"> Valutare il valore prognostico delle caratteristiche cliniche e biologiche dei pazienti e dei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biomarcatori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tumorali in questo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setting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in termini di OS; </w:t>
            </w:r>
            <w:r w:rsidRPr="00F416F1">
              <w:rPr>
                <w:rFonts w:ascii="Times New Roman" w:hAnsi="Times New Roman" w:cs="Times New Roman"/>
              </w:rPr>
              <w:sym w:font="Symbol" w:char="F0B7"/>
            </w:r>
            <w:r w:rsidRPr="00F416F1">
              <w:rPr>
                <w:rFonts w:ascii="Times New Roman" w:hAnsi="Times New Roman" w:cs="Times New Roman"/>
              </w:rPr>
              <w:t xml:space="preserve"> Valutare il profilo di tossicità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</w:p>
        </w:tc>
      </w:tr>
      <w:tr w:rsidR="00CA3BA2" w:rsidRPr="00F416F1" w:rsidTr="005C7179">
        <w:trPr>
          <w:trHeight w:val="734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Obiettivi esploratori </w:t>
            </w:r>
          </w:p>
        </w:tc>
        <w:tc>
          <w:tcPr>
            <w:tcW w:w="4714" w:type="dxa"/>
          </w:tcPr>
          <w:p w:rsidR="00CA3BA2" w:rsidRPr="00F416F1" w:rsidRDefault="000F678E" w:rsidP="005C7179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Validare un test accademico per</w:t>
            </w:r>
            <w:r w:rsidR="00D975C2" w:rsidRPr="00F416F1">
              <w:rPr>
                <w:rFonts w:ascii="Times New Roman" w:hAnsi="Times New Roman" w:cs="Times New Roman"/>
              </w:rPr>
              <w:t xml:space="preserve"> valutare l’HRD (</w:t>
            </w:r>
            <w:proofErr w:type="spellStart"/>
            <w:r w:rsidR="00D975C2" w:rsidRPr="00F416F1">
              <w:rPr>
                <w:rFonts w:ascii="Times New Roman" w:hAnsi="Times New Roman" w:cs="Times New Roman"/>
              </w:rPr>
              <w:t>Homologous</w:t>
            </w:r>
            <w:proofErr w:type="spellEnd"/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Recombination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Deficiency</w:t>
            </w:r>
            <w:proofErr w:type="spellEnd"/>
            <w:r w:rsidRPr="00F416F1">
              <w:rPr>
                <w:rFonts w:ascii="Times New Roman" w:hAnsi="Times New Roman" w:cs="Times New Roman"/>
              </w:rPr>
              <w:t>)</w:t>
            </w:r>
            <w:r w:rsidR="00D975C2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 xml:space="preserve">comparandone la concordanza con il test commerciale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Miriad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MyChoice</w:t>
            </w:r>
            <w:proofErr w:type="spellEnd"/>
            <w:r w:rsidRPr="00F416F1">
              <w:rPr>
                <w:rFonts w:ascii="Times New Roman" w:hAnsi="Times New Roman" w:cs="Times New Roman"/>
              </w:rPr>
              <w:t>.</w:t>
            </w:r>
          </w:p>
        </w:tc>
      </w:tr>
      <w:tr w:rsidR="00CA3BA2" w:rsidRPr="00F416F1" w:rsidTr="005C7179">
        <w:trPr>
          <w:trHeight w:val="734"/>
        </w:trPr>
        <w:tc>
          <w:tcPr>
            <w:tcW w:w="4714" w:type="dxa"/>
          </w:tcPr>
          <w:p w:rsidR="00CA3BA2" w:rsidRPr="00F416F1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16F1">
              <w:rPr>
                <w:rFonts w:ascii="Times New Roman" w:hAnsi="Times New Roman" w:cs="Times New Roman"/>
                <w:b/>
                <w:bCs/>
              </w:rPr>
              <w:t xml:space="preserve">Criteri di inclusione/esclusione </w:t>
            </w:r>
          </w:p>
        </w:tc>
        <w:tc>
          <w:tcPr>
            <w:tcW w:w="4714" w:type="dxa"/>
          </w:tcPr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6F1">
              <w:rPr>
                <w:rFonts w:ascii="Times New Roman" w:hAnsi="Times New Roman" w:cs="Times New Roman"/>
                <w:b/>
              </w:rPr>
              <w:t>Criteri di inclusione: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1. Firma del consenso informato ottenuta prima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ogniprocedura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studio-specifica;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2. Pazienti di sesso femminile che abbiano co</w:t>
            </w:r>
            <w:r w:rsidRPr="00F416F1">
              <w:rPr>
                <w:rFonts w:ascii="Times New Roman" w:hAnsi="Times New Roman" w:cs="Times New Roman"/>
              </w:rPr>
              <w:t xml:space="preserve">mpiuto 18 anni al momento della </w:t>
            </w:r>
            <w:r w:rsidRPr="00F416F1">
              <w:rPr>
                <w:rFonts w:ascii="Times New Roman" w:hAnsi="Times New Roman" w:cs="Times New Roman"/>
              </w:rPr>
              <w:t xml:space="preserve">firma del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consensoinformato</w:t>
            </w:r>
            <w:proofErr w:type="spellEnd"/>
            <w:r w:rsidRPr="00F416F1">
              <w:rPr>
                <w:rFonts w:ascii="Times New Roman" w:hAnsi="Times New Roman" w:cs="Times New Roman"/>
              </w:rPr>
              <w:t>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3. Pazienti con diagnosi istologicamente confermata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dicarcinoma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epiteliale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ovarico  </w:t>
            </w:r>
            <w:r w:rsidRPr="00F416F1">
              <w:rPr>
                <w:rFonts w:ascii="Times New Roman" w:hAnsi="Times New Roman" w:cs="Times New Roman"/>
              </w:rPr>
              <w:t>avanzato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(stadio FIGO III-IV) sieroso 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end</w:t>
            </w:r>
            <w:r w:rsidRPr="00F416F1">
              <w:rPr>
                <w:rFonts w:ascii="Times New Roman" w:hAnsi="Times New Roman" w:cs="Times New Roman"/>
              </w:rPr>
              <w:t>ometrioide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(includente anche il </w:t>
            </w:r>
            <w:r w:rsidRPr="00F416F1">
              <w:rPr>
                <w:rFonts w:ascii="Times New Roman" w:hAnsi="Times New Roman" w:cs="Times New Roman"/>
              </w:rPr>
              <w:t xml:space="preserve">carcinoma delle tube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Falloppio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ed il carcinoma peritoneale primitivo);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4. Pazienti con risposta completa o parziale alla chem</w:t>
            </w:r>
            <w:r w:rsidRPr="00F416F1">
              <w:rPr>
                <w:rFonts w:ascii="Times New Roman" w:hAnsi="Times New Roman" w:cs="Times New Roman"/>
              </w:rPr>
              <w:t xml:space="preserve">ioterapia a base di platino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di  </w:t>
            </w:r>
            <w:r w:rsidRPr="00F416F1">
              <w:rPr>
                <w:rFonts w:ascii="Times New Roman" w:hAnsi="Times New Roman" w:cs="Times New Roman"/>
              </w:rPr>
              <w:t>prima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linea, che non abbiano fatto terapia con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Bevacizumab</w:t>
            </w:r>
            <w:proofErr w:type="spellEnd"/>
            <w:r w:rsidRPr="00F416F1">
              <w:rPr>
                <w:rFonts w:ascii="Times New Roman" w:hAnsi="Times New Roman" w:cs="Times New Roman"/>
              </w:rPr>
              <w:t>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5. Documentata assenza di mutazioni germinali e somatiche dei geni BRCA 1 e 2;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6. Le pazienti devono avere una aspettativa di vita ≥16 settimane;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F416F1">
              <w:rPr>
                <w:rFonts w:ascii="Times New Roman" w:hAnsi="Times New Roman" w:cs="Times New Roman"/>
              </w:rPr>
              <w:t>Performace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Status (PS) secondo scala ECOG 0-1;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8. Disponibilità di campioni di tumore ottenuti dalla prima chirurgia (prima di avere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lastRenderedPageBreak/>
              <w:t>eseguito chemioterapia) per l’analisi traslazional</w:t>
            </w:r>
            <w:r w:rsidRPr="00F416F1">
              <w:rPr>
                <w:rFonts w:ascii="Times New Roman" w:hAnsi="Times New Roman" w:cs="Times New Roman"/>
              </w:rPr>
              <w:t xml:space="preserve">e. Un’ analisi di controllo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di  </w:t>
            </w:r>
            <w:r w:rsidRPr="00F416F1">
              <w:rPr>
                <w:rFonts w:ascii="Times New Roman" w:hAnsi="Times New Roman" w:cs="Times New Roman"/>
              </w:rPr>
              <w:t>qualità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del campione sarà eseguita prima dell’arruolamento della paziente;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9. Le pazienti dovranno essere arruolate entro 8</w:t>
            </w:r>
            <w:r w:rsidRPr="00F416F1">
              <w:rPr>
                <w:rFonts w:ascii="Times New Roman" w:hAnsi="Times New Roman" w:cs="Times New Roman"/>
              </w:rPr>
              <w:t xml:space="preserve"> settimane, calcolate dal primo </w:t>
            </w:r>
            <w:r w:rsidRPr="00F416F1">
              <w:rPr>
                <w:rFonts w:ascii="Times New Roman" w:hAnsi="Times New Roman" w:cs="Times New Roman"/>
              </w:rPr>
              <w:t>giorno dell’ultima dose di chemioterapia;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10. Le pazienti devono poter essere capaci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assumereterapia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orale;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11.Stato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postmenopausale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* o nelle donne </w:t>
            </w:r>
            <w:r w:rsidRPr="00F416F1">
              <w:rPr>
                <w:rFonts w:ascii="Times New Roman" w:hAnsi="Times New Roman" w:cs="Times New Roman"/>
              </w:rPr>
              <w:t xml:space="preserve">potenzialmente fertili, test di </w:t>
            </w:r>
            <w:r w:rsidRPr="00F416F1">
              <w:rPr>
                <w:rFonts w:ascii="Times New Roman" w:hAnsi="Times New Roman" w:cs="Times New Roman"/>
              </w:rPr>
              <w:t>gravidanza sulle urine o sul sangue effettuato e</w:t>
            </w:r>
            <w:r w:rsidRPr="00F416F1">
              <w:rPr>
                <w:rFonts w:ascii="Times New Roman" w:hAnsi="Times New Roman" w:cs="Times New Roman"/>
              </w:rPr>
              <w:t xml:space="preserve">ntro 28 giorni dall’ inizio del </w:t>
            </w:r>
            <w:r w:rsidRPr="00F416F1">
              <w:rPr>
                <w:rFonts w:ascii="Times New Roman" w:hAnsi="Times New Roman" w:cs="Times New Roman"/>
              </w:rPr>
              <w:t>trattamento e conferma</w:t>
            </w:r>
            <w:r w:rsidRPr="00F416F1">
              <w:rPr>
                <w:rFonts w:ascii="Times New Roman" w:hAnsi="Times New Roman" w:cs="Times New Roman"/>
              </w:rPr>
              <w:t xml:space="preserve">to al giorno 1 del trattamento. </w:t>
            </w:r>
            <w:r w:rsidRPr="00F416F1">
              <w:rPr>
                <w:rFonts w:ascii="Times New Roman" w:hAnsi="Times New Roman" w:cs="Times New Roman"/>
              </w:rPr>
              <w:t xml:space="preserve">*La </w:t>
            </w:r>
            <w:proofErr w:type="spellStart"/>
            <w:r w:rsidRPr="00F416F1">
              <w:rPr>
                <w:rFonts w:ascii="Times New Roman" w:hAnsi="Times New Roman" w:cs="Times New Roman"/>
              </w:rPr>
              <w:t>postmenopausa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è definita come: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Amenorrea da un anno o più dopo l’interruzione di trattamenti ormonali a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base di estrogeni;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- Livelli di ormone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luteinizzante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(LH) e follicolo stimolante (FSH) nell’ intervallo</w:t>
            </w:r>
          </w:p>
          <w:p w:rsidR="00CA3BA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post-</w:t>
            </w:r>
            <w:proofErr w:type="spellStart"/>
            <w:r w:rsidRPr="00F416F1">
              <w:rPr>
                <w:rFonts w:ascii="Times New Roman" w:hAnsi="Times New Roman" w:cs="Times New Roman"/>
              </w:rPr>
              <w:t>menopausale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per le donne sotto i 50 anni;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- Cessazione dell’attività ovarica indotta da radiazioni con ultima mestruazione 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&gt; 1 anno fa;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Menopausa indotta da chemioterapia con un intervallo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&gt; 1 anno dall’ ultima mestruazione;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Sterilizzazione chirurgica (ovariectomia bilaterale o isterectomia).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12. Donne potenzialmente fertili ed i loro partner,</w:t>
            </w:r>
            <w:r w:rsidR="00F416F1" w:rsidRPr="00F416F1">
              <w:rPr>
                <w:rFonts w:ascii="Times New Roman" w:hAnsi="Times New Roman" w:cs="Times New Roman"/>
              </w:rPr>
              <w:t xml:space="preserve"> che sono sessualmente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attivi,  </w:t>
            </w:r>
            <w:r w:rsidRPr="00F416F1">
              <w:rPr>
                <w:rFonts w:ascii="Times New Roman" w:hAnsi="Times New Roman" w:cs="Times New Roman"/>
              </w:rPr>
              <w:t>devono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accettare l'uso di una forma contraccett</w:t>
            </w:r>
            <w:r w:rsidR="00F416F1" w:rsidRPr="00F416F1">
              <w:rPr>
                <w:rFonts w:ascii="Times New Roman" w:hAnsi="Times New Roman" w:cs="Times New Roman"/>
              </w:rPr>
              <w:t xml:space="preserve">iva altamente efficace e i loro </w:t>
            </w:r>
            <w:r w:rsidRPr="00F416F1">
              <w:rPr>
                <w:rFonts w:ascii="Times New Roman" w:hAnsi="Times New Roman" w:cs="Times New Roman"/>
              </w:rPr>
              <w:t>partner devono usare un preser</w:t>
            </w:r>
            <w:r w:rsidR="00F416F1" w:rsidRPr="00F416F1">
              <w:rPr>
                <w:rFonts w:ascii="Times New Roman" w:hAnsi="Times New Roman" w:cs="Times New Roman"/>
              </w:rPr>
              <w:t xml:space="preserve">vativo maschile (come descritto </w:t>
            </w:r>
            <w:r w:rsidRPr="00F416F1">
              <w:rPr>
                <w:rFonts w:ascii="Times New Roman" w:hAnsi="Times New Roman" w:cs="Times New Roman"/>
              </w:rPr>
              <w:t>nell'Appendice D). Tali misure contraccet</w:t>
            </w:r>
            <w:r w:rsidR="00F416F1" w:rsidRPr="00F416F1">
              <w:rPr>
                <w:rFonts w:ascii="Times New Roman" w:hAnsi="Times New Roman" w:cs="Times New Roman"/>
              </w:rPr>
              <w:t xml:space="preserve">tive dovrebbero essere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attuate  </w:t>
            </w:r>
            <w:r w:rsidRPr="00F416F1">
              <w:rPr>
                <w:rFonts w:ascii="Times New Roman" w:hAnsi="Times New Roman" w:cs="Times New Roman"/>
              </w:rPr>
              <w:t>dallo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screening, per tutto il periodo di assunzione d</w:t>
            </w:r>
            <w:r w:rsidR="00F416F1" w:rsidRPr="00F416F1">
              <w:rPr>
                <w:rFonts w:ascii="Times New Roman" w:hAnsi="Times New Roman" w:cs="Times New Roman"/>
              </w:rPr>
              <w:t xml:space="preserve">el trattamento in studio e per  </w:t>
            </w:r>
            <w:r w:rsidRPr="00F416F1">
              <w:rPr>
                <w:rFonts w:ascii="Times New Roman" w:hAnsi="Times New Roman" w:cs="Times New Roman"/>
              </w:rPr>
              <w:t>almeno 1 mese dopo l'ultima dose del farmaco in studio;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13. Le pazienti devono avere una adeguata funzione d</w:t>
            </w:r>
            <w:r w:rsidR="00F416F1" w:rsidRPr="00F416F1">
              <w:rPr>
                <w:rFonts w:ascii="Times New Roman" w:hAnsi="Times New Roman" w:cs="Times New Roman"/>
              </w:rPr>
              <w:t xml:space="preserve">i organo e midollare,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valutata  </w:t>
            </w:r>
            <w:r w:rsidRPr="00F416F1">
              <w:rPr>
                <w:rFonts w:ascii="Times New Roman" w:hAnsi="Times New Roman" w:cs="Times New Roman"/>
              </w:rPr>
              <w:t>entro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28 giorni prima dalla somministrazione del trattamento di studio, d</w:t>
            </w:r>
            <w:r w:rsidR="00F416F1" w:rsidRPr="00F416F1">
              <w:rPr>
                <w:rFonts w:ascii="Times New Roman" w:hAnsi="Times New Roman" w:cs="Times New Roman"/>
              </w:rPr>
              <w:t xml:space="preserve">efinita  </w:t>
            </w:r>
            <w:r w:rsidRPr="00F416F1">
              <w:rPr>
                <w:rFonts w:ascii="Times New Roman" w:hAnsi="Times New Roman" w:cs="Times New Roman"/>
              </w:rPr>
              <w:t>come di seguito: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lastRenderedPageBreak/>
              <w:t>- Emoglobina ≥ 10 g/</w:t>
            </w:r>
            <w:proofErr w:type="spellStart"/>
            <w:r w:rsidRPr="00F416F1">
              <w:rPr>
                <w:rFonts w:ascii="Times New Roman" w:hAnsi="Times New Roman" w:cs="Times New Roman"/>
              </w:rPr>
              <w:t>dL</w:t>
            </w:r>
            <w:proofErr w:type="spellEnd"/>
            <w:r w:rsidRPr="00F416F1">
              <w:rPr>
                <w:rFonts w:ascii="Times New Roman" w:hAnsi="Times New Roman" w:cs="Times New Roman"/>
              </w:rPr>
              <w:t>, senza trasfusione di sangue negli ultimi 28 giorni;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Conta assoluta di neutrofili (ANC) ≥ 1.5 x 109/L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Conta piastrinica ≥ 100 x 109/L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- Bilirubina totale ≤ 1.5 x il limite superiore del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rangenormale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istituzionale;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416F1">
              <w:rPr>
                <w:rFonts w:ascii="Times New Roman" w:hAnsi="Times New Roman" w:cs="Times New Roman"/>
              </w:rPr>
              <w:t>Aspartato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Aminotransferasi (AST)/Alanina Aminotransferasi (ALT) ≤ 2.5 x 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LSN (limite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superioredi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normalità) salvo che siano presenti metastasi epatiche 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nel qual caso il limite deve essere ≤ 5 x LNS;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- Le pazienti devono avere una clearance della creatinina calcolata usando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l’equazione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Cockcroft</w:t>
            </w:r>
            <w:proofErr w:type="spellEnd"/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– Gault ≥51mL/</w:t>
            </w:r>
            <w:proofErr w:type="spellStart"/>
            <w:r w:rsidRPr="00F416F1">
              <w:rPr>
                <w:rFonts w:ascii="Times New Roman" w:hAnsi="Times New Roman" w:cs="Times New Roman"/>
              </w:rPr>
              <w:t>min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o basandosi su un test delle urine a 24 ore: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o Clearance della creatinina stimata (140 – </w:t>
            </w:r>
            <w:proofErr w:type="spellStart"/>
            <w:r w:rsidRPr="00F416F1">
              <w:rPr>
                <w:rFonts w:ascii="Times New Roman" w:hAnsi="Times New Roman" w:cs="Times New Roman"/>
              </w:rPr>
              <w:t>etàdella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paziente(anni) x peso 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(kg) (x </w:t>
            </w:r>
            <w:proofErr w:type="gramStart"/>
            <w:r w:rsidRPr="00F416F1">
              <w:rPr>
                <w:rFonts w:ascii="Times New Roman" w:hAnsi="Times New Roman" w:cs="Times New Roman"/>
              </w:rPr>
              <w:t>F)a</w:t>
            </w:r>
            <w:proofErr w:type="gramEnd"/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o Creatinina sierica (mg/</w:t>
            </w:r>
            <w:proofErr w:type="spellStart"/>
            <w:r w:rsidRPr="00F416F1">
              <w:rPr>
                <w:rFonts w:ascii="Times New Roman" w:hAnsi="Times New Roman" w:cs="Times New Roman"/>
              </w:rPr>
              <w:t>dL</w:t>
            </w:r>
            <w:proofErr w:type="spellEnd"/>
            <w:r w:rsidRPr="00F416F1">
              <w:rPr>
                <w:rFonts w:ascii="Times New Roman" w:hAnsi="Times New Roman" w:cs="Times New Roman"/>
              </w:rPr>
              <w:t>) x 72;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a dove F=0.85 per le donne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14. Disponibilità e capacità di rispettare le visite programmate, il piano di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trattamento, i test di laboratorio ed altre procedure incluse dello studio clinico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6F1">
              <w:rPr>
                <w:rFonts w:ascii="Times New Roman" w:hAnsi="Times New Roman" w:cs="Times New Roman"/>
                <w:b/>
              </w:rPr>
              <w:t>Criteri di esclusione: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1. Pazienti che abbiano ricevuto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Bevacizumab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in associazio</w:t>
            </w:r>
            <w:r w:rsidR="00F416F1" w:rsidRPr="00F416F1">
              <w:rPr>
                <w:rFonts w:ascii="Times New Roman" w:hAnsi="Times New Roman" w:cs="Times New Roman"/>
              </w:rPr>
              <w:t xml:space="preserve">ne con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la  </w:t>
            </w:r>
            <w:r w:rsidRPr="00F416F1">
              <w:rPr>
                <w:rFonts w:ascii="Times New Roman" w:hAnsi="Times New Roman" w:cs="Times New Roman"/>
              </w:rPr>
              <w:t>chemioterapia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a base di platino o co</w:t>
            </w:r>
            <w:r w:rsidR="00F416F1" w:rsidRPr="00F416F1">
              <w:rPr>
                <w:rFonts w:ascii="Times New Roman" w:hAnsi="Times New Roman" w:cs="Times New Roman"/>
              </w:rPr>
              <w:t xml:space="preserve">me mantenimento in seguito alla </w:t>
            </w:r>
            <w:r w:rsidRPr="00F416F1">
              <w:rPr>
                <w:rFonts w:ascii="Times New Roman" w:hAnsi="Times New Roman" w:cs="Times New Roman"/>
              </w:rPr>
              <w:t>chemioterapia;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416F1">
              <w:rPr>
                <w:rFonts w:ascii="Times New Roman" w:hAnsi="Times New Roman" w:cs="Times New Roman"/>
              </w:rPr>
              <w:t>Istotipi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a cellule chiare,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mucinosi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e tumori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Mu</w:t>
            </w:r>
            <w:r w:rsidR="00F416F1" w:rsidRPr="00F416F1">
              <w:rPr>
                <w:rFonts w:ascii="Times New Roman" w:hAnsi="Times New Roman" w:cs="Times New Roman"/>
              </w:rPr>
              <w:t>lleriani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misti/</w:t>
            </w:r>
            <w:proofErr w:type="spellStart"/>
            <w:proofErr w:type="gramStart"/>
            <w:r w:rsidR="00F416F1" w:rsidRPr="00F416F1">
              <w:rPr>
                <w:rFonts w:ascii="Times New Roman" w:hAnsi="Times New Roman" w:cs="Times New Roman"/>
              </w:rPr>
              <w:t>carcinosarcomi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 </w:t>
            </w:r>
            <w:r w:rsidRPr="00F416F1">
              <w:rPr>
                <w:rFonts w:ascii="Times New Roman" w:hAnsi="Times New Roman" w:cs="Times New Roman"/>
              </w:rPr>
              <w:t>tumori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non epiteliali o tumori ovarici a ba</w:t>
            </w:r>
            <w:r w:rsidR="00F416F1" w:rsidRPr="00F416F1">
              <w:rPr>
                <w:rFonts w:ascii="Times New Roman" w:hAnsi="Times New Roman" w:cs="Times New Roman"/>
              </w:rPr>
              <w:t xml:space="preserve">sso potenziale di malignità (ad </w:t>
            </w:r>
            <w:r w:rsidRPr="00F416F1">
              <w:rPr>
                <w:rFonts w:ascii="Times New Roman" w:hAnsi="Times New Roman" w:cs="Times New Roman"/>
              </w:rPr>
              <w:t>esempio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il tumore borderline) non sono ammessi;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3. Avere ricevuto chemioterapia nei 14 giorni preced</w:t>
            </w:r>
            <w:r w:rsidR="00F416F1" w:rsidRPr="00F416F1">
              <w:rPr>
                <w:rFonts w:ascii="Times New Roman" w:hAnsi="Times New Roman" w:cs="Times New Roman"/>
              </w:rPr>
              <w:t xml:space="preserve">enti la somministrazione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della  </w:t>
            </w:r>
            <w:r w:rsidRPr="00F416F1">
              <w:rPr>
                <w:rFonts w:ascii="Times New Roman" w:hAnsi="Times New Roman" w:cs="Times New Roman"/>
              </w:rPr>
              <w:t>prima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dose del trattamento in studio e/o tossicità persistente (&gt; Grado 2 secondo i CTCAE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vers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5.0) causate dai precedenti trattamenti, escluso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l’alopecia, la neuropatia periferica ed altri eff</w:t>
            </w:r>
            <w:r w:rsidR="00F416F1" w:rsidRPr="00F416F1">
              <w:rPr>
                <w:rFonts w:ascii="Times New Roman" w:hAnsi="Times New Roman" w:cs="Times New Roman"/>
              </w:rPr>
              <w:t xml:space="preserve">etti relati alla </w:t>
            </w:r>
            <w:r w:rsidR="00F416F1" w:rsidRPr="00F416F1">
              <w:rPr>
                <w:rFonts w:ascii="Times New Roman" w:hAnsi="Times New Roman" w:cs="Times New Roman"/>
              </w:rPr>
              <w:lastRenderedPageBreak/>
              <w:t xml:space="preserve">chemioterapia  </w:t>
            </w:r>
            <w:r w:rsidRPr="00F416F1">
              <w:rPr>
                <w:rFonts w:ascii="Times New Roman" w:hAnsi="Times New Roman" w:cs="Times New Roman"/>
              </w:rPr>
              <w:t>precedente che non possono essere esacerbati dal farmaco in studio;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4. Precedente trapianto allogenico di midollo osse</w:t>
            </w:r>
            <w:r w:rsidR="00F416F1" w:rsidRPr="00F416F1">
              <w:rPr>
                <w:rFonts w:ascii="Times New Roman" w:hAnsi="Times New Roman" w:cs="Times New Roman"/>
              </w:rPr>
              <w:t xml:space="preserve">o o doppio trapianto di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sangue  </w:t>
            </w:r>
            <w:r w:rsidRPr="00F416F1">
              <w:rPr>
                <w:rFonts w:ascii="Times New Roman" w:hAnsi="Times New Roman" w:cs="Times New Roman"/>
              </w:rPr>
              <w:t>del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cordone ombelicale (</w:t>
            </w:r>
            <w:proofErr w:type="spellStart"/>
            <w:r w:rsidRPr="00F416F1">
              <w:rPr>
                <w:rFonts w:ascii="Times New Roman" w:hAnsi="Times New Roman" w:cs="Times New Roman"/>
              </w:rPr>
              <w:t>dUCBT</w:t>
            </w:r>
            <w:proofErr w:type="spellEnd"/>
            <w:r w:rsidRPr="00F416F1">
              <w:rPr>
                <w:rFonts w:ascii="Times New Roman" w:hAnsi="Times New Roman" w:cs="Times New Roman"/>
              </w:rPr>
              <w:t>);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5. Trasfusioni di sangue intero negli ultimi 120 giorn</w:t>
            </w:r>
            <w:r w:rsidR="00F416F1" w:rsidRPr="00F416F1">
              <w:rPr>
                <w:rFonts w:ascii="Times New Roman" w:hAnsi="Times New Roman" w:cs="Times New Roman"/>
              </w:rPr>
              <w:t xml:space="preserve">i prima di entrare nello studio </w:t>
            </w:r>
            <w:r w:rsidRPr="00F416F1">
              <w:rPr>
                <w:rFonts w:ascii="Times New Roman" w:hAnsi="Times New Roman" w:cs="Times New Roman"/>
              </w:rPr>
              <w:t xml:space="preserve">(sono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ammessetrasfusioni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di globuli rossi e piastrine);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6. Donne che allattano al seno;</w:t>
            </w:r>
          </w:p>
          <w:p w:rsidR="00D975C2" w:rsidRPr="00F416F1" w:rsidRDefault="00F416F1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7. </w:t>
            </w:r>
            <w:r w:rsidR="00D975C2" w:rsidRPr="00F416F1">
              <w:rPr>
                <w:rFonts w:ascii="Times New Roman" w:hAnsi="Times New Roman" w:cs="Times New Roman"/>
              </w:rPr>
              <w:t xml:space="preserve">Pazienti con sindromi </w:t>
            </w:r>
            <w:proofErr w:type="spellStart"/>
            <w:r w:rsidR="00D975C2" w:rsidRPr="00F416F1">
              <w:rPr>
                <w:rFonts w:ascii="Times New Roman" w:hAnsi="Times New Roman" w:cs="Times New Roman"/>
              </w:rPr>
              <w:t>mielodisplastiche</w:t>
            </w:r>
            <w:proofErr w:type="spellEnd"/>
            <w:r w:rsidR="00D975C2" w:rsidRPr="00F416F1">
              <w:rPr>
                <w:rFonts w:ascii="Times New Roman" w:hAnsi="Times New Roman" w:cs="Times New Roman"/>
              </w:rPr>
              <w:t xml:space="preserve">/leucemia mieloide acuta o con 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caratteristiche suggestive di MDS/AML;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8. Pazienti considerate a rischio a causa di un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distur</w:t>
            </w:r>
            <w:r w:rsidR="00F416F1" w:rsidRPr="00F416F1">
              <w:rPr>
                <w:rFonts w:ascii="Times New Roman" w:hAnsi="Times New Roman" w:cs="Times New Roman"/>
              </w:rPr>
              <w:t>bomedico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grave, incontrollato, </w:t>
            </w:r>
            <w:r w:rsidRPr="00F416F1">
              <w:rPr>
                <w:rFonts w:ascii="Times New Roman" w:hAnsi="Times New Roman" w:cs="Times New Roman"/>
              </w:rPr>
              <w:t>malattia sistemica non maligna o infezione att</w:t>
            </w:r>
            <w:r w:rsidR="00F416F1" w:rsidRPr="00F416F1">
              <w:rPr>
                <w:rFonts w:ascii="Times New Roman" w:hAnsi="Times New Roman" w:cs="Times New Roman"/>
              </w:rPr>
              <w:t xml:space="preserve">iva e incontrollata [Gli esempi </w:t>
            </w:r>
            <w:r w:rsidRPr="00F416F1">
              <w:rPr>
                <w:rFonts w:ascii="Times New Roman" w:hAnsi="Times New Roman" w:cs="Times New Roman"/>
              </w:rPr>
              <w:t xml:space="preserve">includono, ma non sono limitati a questi,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aritmiaventr</w:t>
            </w:r>
            <w:r w:rsidR="00F416F1" w:rsidRPr="00F416F1">
              <w:rPr>
                <w:rFonts w:ascii="Times New Roman" w:hAnsi="Times New Roman" w:cs="Times New Roman"/>
              </w:rPr>
              <w:t>icolare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incontrollata, infarto </w:t>
            </w:r>
            <w:r w:rsidRPr="00F416F1">
              <w:rPr>
                <w:rFonts w:ascii="Times New Roman" w:hAnsi="Times New Roman" w:cs="Times New Roman"/>
              </w:rPr>
              <w:t>miocardico recente (entro 3 mesi), scompenso cardiaco congestizio di classe II o maggiore, malattia vascolare periferica di</w:t>
            </w:r>
            <w:r w:rsidRPr="00F416F1">
              <w:rPr>
                <w:rFonts w:ascii="Times New Roman" w:hAnsi="Times New Roman" w:cs="Times New Roman"/>
              </w:rPr>
              <w:t xml:space="preserve"> grado severo, ipertensione non </w:t>
            </w:r>
            <w:r w:rsidRPr="00F416F1">
              <w:rPr>
                <w:rFonts w:ascii="Times New Roman" w:hAnsi="Times New Roman" w:cs="Times New Roman"/>
              </w:rPr>
              <w:t>controllata, disordine maggiore incontrollato, c</w:t>
            </w:r>
            <w:r w:rsidRPr="00F416F1">
              <w:rPr>
                <w:rFonts w:ascii="Times New Roman" w:hAnsi="Times New Roman" w:cs="Times New Roman"/>
              </w:rPr>
              <w:t xml:space="preserve">ompressione instabile del </w:t>
            </w:r>
            <w:r w:rsidRPr="00F416F1">
              <w:rPr>
                <w:rFonts w:ascii="Times New Roman" w:hAnsi="Times New Roman" w:cs="Times New Roman"/>
              </w:rPr>
              <w:t>midollo spinale, sindrome della vena c</w:t>
            </w:r>
            <w:r w:rsidRPr="00F416F1">
              <w:rPr>
                <w:rFonts w:ascii="Times New Roman" w:hAnsi="Times New Roman" w:cs="Times New Roman"/>
              </w:rPr>
              <w:t xml:space="preserve">ava superiore, estesa malattia </w:t>
            </w:r>
            <w:r w:rsidRPr="00F416F1">
              <w:rPr>
                <w:rFonts w:ascii="Times New Roman" w:hAnsi="Times New Roman" w:cs="Times New Roman"/>
              </w:rPr>
              <w:t>polmonare bilaterale interstiziale su to</w:t>
            </w:r>
            <w:r w:rsidRPr="00F416F1">
              <w:rPr>
                <w:rFonts w:ascii="Times New Roman" w:hAnsi="Times New Roman" w:cs="Times New Roman"/>
              </w:rPr>
              <w:t xml:space="preserve">mografia computerizzata ad alta </w:t>
            </w:r>
            <w:r w:rsidRPr="00F416F1">
              <w:rPr>
                <w:rFonts w:ascii="Times New Roman" w:hAnsi="Times New Roman" w:cs="Times New Roman"/>
              </w:rPr>
              <w:t>risoluzione (HRCT) o qualsiasi disturbo psichiatrico].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9. Pazienti con una seconda patologia neoplastica maligna in fase attiva;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10.Altre neoplasie maligne a meno che non siano state trattate in modo curativo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senza evidenza di malattia per ≥5 ann</w:t>
            </w:r>
            <w:r w:rsidR="00F416F1" w:rsidRPr="00F416F1">
              <w:rPr>
                <w:rFonts w:ascii="Times New Roman" w:hAnsi="Times New Roman" w:cs="Times New Roman"/>
              </w:rPr>
              <w:t xml:space="preserve">i eccetto carcinoma cutaneo non </w:t>
            </w:r>
            <w:r w:rsidRPr="00F416F1">
              <w:rPr>
                <w:rFonts w:ascii="Times New Roman" w:hAnsi="Times New Roman" w:cs="Times New Roman"/>
              </w:rPr>
              <w:t xml:space="preserve">melanoma adeguatamente trattato, carcinoma in situ della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cervice 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accuratamente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trattato in maniera curativa, ca</w:t>
            </w:r>
            <w:r w:rsidR="00F416F1" w:rsidRPr="00F416F1">
              <w:rPr>
                <w:rFonts w:ascii="Times New Roman" w:hAnsi="Times New Roman" w:cs="Times New Roman"/>
              </w:rPr>
              <w:t xml:space="preserve">rcinoma duttale in sede (DCIS), </w:t>
            </w:r>
            <w:r w:rsidRPr="00F416F1">
              <w:rPr>
                <w:rFonts w:ascii="Times New Roman" w:hAnsi="Times New Roman" w:cs="Times New Roman"/>
              </w:rPr>
              <w:t>carcinoma dell’endometrio stadio 1, grado 1.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11.Qualsiasi precedente trattamento per ca</w:t>
            </w:r>
            <w:r w:rsidR="00F416F1" w:rsidRPr="00F416F1">
              <w:rPr>
                <w:rFonts w:ascii="Times New Roman" w:hAnsi="Times New Roman" w:cs="Times New Roman"/>
              </w:rPr>
              <w:t xml:space="preserve">rcinoma ovarico, diverso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dalla  </w:t>
            </w:r>
            <w:r w:rsidRPr="00F416F1">
              <w:rPr>
                <w:rFonts w:ascii="Times New Roman" w:hAnsi="Times New Roman" w:cs="Times New Roman"/>
              </w:rPr>
              <w:t>chemioterapia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di prima linea </w:t>
            </w:r>
            <w:proofErr w:type="spellStart"/>
            <w:r w:rsidRPr="00F416F1">
              <w:rPr>
                <w:rFonts w:ascii="Times New Roman" w:hAnsi="Times New Roman" w:cs="Times New Roman"/>
              </w:rPr>
              <w:t>abase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di platino, in</w:t>
            </w:r>
            <w:r w:rsidR="00F416F1" w:rsidRPr="00F416F1">
              <w:rPr>
                <w:rFonts w:ascii="Times New Roman" w:hAnsi="Times New Roman" w:cs="Times New Roman"/>
              </w:rPr>
              <w:t xml:space="preserve">cludente qualsiasi trattamento  </w:t>
            </w:r>
            <w:r w:rsidRPr="00F416F1">
              <w:rPr>
                <w:rFonts w:ascii="Times New Roman" w:hAnsi="Times New Roman" w:cs="Times New Roman"/>
              </w:rPr>
              <w:t>di mantenimento tra il completamento della ch</w:t>
            </w:r>
            <w:r w:rsidR="00F416F1" w:rsidRPr="00F416F1">
              <w:rPr>
                <w:rFonts w:ascii="Times New Roman" w:hAnsi="Times New Roman" w:cs="Times New Roman"/>
              </w:rPr>
              <w:t xml:space="preserve">emioterapia a base di platino e </w:t>
            </w:r>
            <w:r w:rsidRPr="00F416F1">
              <w:rPr>
                <w:rFonts w:ascii="Times New Roman" w:hAnsi="Times New Roman" w:cs="Times New Roman"/>
              </w:rPr>
              <w:t xml:space="preserve">l’inizio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deltrattamento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in studio;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12.Chirurgia maggiore eseguita entro 2 settimane dall’ inizio del trattamento </w:t>
            </w:r>
            <w:proofErr w:type="gramStart"/>
            <w:r w:rsidRPr="00F416F1">
              <w:rPr>
                <w:rFonts w:ascii="Times New Roman" w:hAnsi="Times New Roman" w:cs="Times New Roman"/>
              </w:rPr>
              <w:t xml:space="preserve">di 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studio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e le pazienti </w:t>
            </w:r>
            <w:r w:rsidRPr="00F416F1">
              <w:rPr>
                <w:rFonts w:ascii="Times New Roman" w:hAnsi="Times New Roman" w:cs="Times New Roman"/>
              </w:rPr>
              <w:lastRenderedPageBreak/>
              <w:t xml:space="preserve">devono essere guarite dagli </w:t>
            </w:r>
            <w:r w:rsidR="00F416F1" w:rsidRPr="00F416F1">
              <w:rPr>
                <w:rFonts w:ascii="Times New Roman" w:hAnsi="Times New Roman" w:cs="Times New Roman"/>
              </w:rPr>
              <w:t xml:space="preserve">effetti di qualsiasi intervento </w:t>
            </w:r>
            <w:r w:rsidRPr="00F416F1">
              <w:rPr>
                <w:rFonts w:ascii="Times New Roman" w:hAnsi="Times New Roman" w:cs="Times New Roman"/>
              </w:rPr>
              <w:t>chirurgico maggiore;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13.Trattamenti concomitanti con altri agenti farmaci sperimentali;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14.Pazienti incapaci di deglutire farmaci somministrati per via oral</w:t>
            </w:r>
            <w:r w:rsidR="00F416F1" w:rsidRPr="00F416F1">
              <w:rPr>
                <w:rFonts w:ascii="Times New Roman" w:hAnsi="Times New Roman" w:cs="Times New Roman"/>
              </w:rPr>
              <w:t xml:space="preserve">e e pazienti con </w:t>
            </w:r>
            <w:r w:rsidRPr="00F416F1">
              <w:rPr>
                <w:rFonts w:ascii="Times New Roman" w:hAnsi="Times New Roman" w:cs="Times New Roman"/>
              </w:rPr>
              <w:t>disturbi gastrointestinali che potrebbero interferire con l’assorbimento del</w:t>
            </w:r>
            <w:r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trattamento di studio;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15.Qualsiasi test positivo per HBV o HCV indic</w:t>
            </w:r>
            <w:r w:rsidR="00F416F1" w:rsidRPr="00F416F1">
              <w:rPr>
                <w:rFonts w:ascii="Times New Roman" w:hAnsi="Times New Roman" w:cs="Times New Roman"/>
              </w:rPr>
              <w:t xml:space="preserve">ante la presenza del virus,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ad  </w:t>
            </w:r>
            <w:r w:rsidRPr="00F416F1">
              <w:rPr>
                <w:rFonts w:ascii="Times New Roman" w:hAnsi="Times New Roman" w:cs="Times New Roman"/>
              </w:rPr>
              <w:t>esempio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</w:rPr>
              <w:t>Hepatitis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surface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antigene (</w:t>
            </w:r>
            <w:proofErr w:type="spellStart"/>
            <w:r w:rsidRPr="00F416F1">
              <w:rPr>
                <w:rFonts w:ascii="Times New Roman" w:hAnsi="Times New Roman" w:cs="Times New Roman"/>
              </w:rPr>
              <w:t>HBsAg</w:t>
            </w:r>
            <w:proofErr w:type="spellEnd"/>
            <w:r w:rsidRPr="00F416F1">
              <w:rPr>
                <w:rFonts w:ascii="Times New Roman" w:hAnsi="Times New Roman" w:cs="Times New Roman"/>
              </w:rPr>
              <w:t>, antigene Austra</w:t>
            </w:r>
            <w:r w:rsidR="00F416F1" w:rsidRPr="00F416F1">
              <w:rPr>
                <w:rFonts w:ascii="Times New Roman" w:hAnsi="Times New Roman" w:cs="Times New Roman"/>
              </w:rPr>
              <w:t xml:space="preserve">lia) positivo, 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Hepatitis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C anticorpo (anti-HCV) positivo (eccetto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seHCV</w:t>
            </w:r>
            <w:proofErr w:type="spellEnd"/>
            <w:r w:rsidRPr="00F416F1">
              <w:rPr>
                <w:rFonts w:ascii="Times New Roman" w:hAnsi="Times New Roman" w:cs="Times New Roman"/>
              </w:rPr>
              <w:t>-RNA è negativo);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16.Pazienti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immunocompromesse</w:t>
            </w:r>
            <w:proofErr w:type="spellEnd"/>
            <w:r w:rsidRPr="00F416F1">
              <w:rPr>
                <w:rFonts w:ascii="Times New Roman" w:hAnsi="Times New Roman" w:cs="Times New Roman"/>
              </w:rPr>
              <w:t>, ad esempio paz</w:t>
            </w:r>
            <w:r w:rsidR="00F416F1" w:rsidRPr="00F416F1">
              <w:rPr>
                <w:rFonts w:ascii="Times New Roman" w:hAnsi="Times New Roman" w:cs="Times New Roman"/>
              </w:rPr>
              <w:t xml:space="preserve">ienti che sono note per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essere 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sierologicamente</w:t>
            </w:r>
            <w:proofErr w:type="spellEnd"/>
            <w:proofErr w:type="gramEnd"/>
            <w:r w:rsidRPr="00F416F1">
              <w:rPr>
                <w:rFonts w:ascii="Times New Roman" w:hAnsi="Times New Roman" w:cs="Times New Roman"/>
              </w:rPr>
              <w:t xml:space="preserve"> positive per il virus dell’immunodeficienza umana (HIV);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17.Pazienti con metastasi cerebrali non contr</w:t>
            </w:r>
            <w:r w:rsidR="00F416F1" w:rsidRPr="00F416F1">
              <w:rPr>
                <w:rFonts w:ascii="Times New Roman" w:hAnsi="Times New Roman" w:cs="Times New Roman"/>
              </w:rPr>
              <w:t xml:space="preserve">ollate sintomatiche (TC/RMN del </w:t>
            </w:r>
            <w:r w:rsidRPr="00F416F1">
              <w:rPr>
                <w:rFonts w:ascii="Times New Roman" w:hAnsi="Times New Roman" w:cs="Times New Roman"/>
              </w:rPr>
              <w:t>cranio è richiesta al basale). La paziente pu</w:t>
            </w:r>
            <w:r w:rsidR="00F416F1" w:rsidRPr="00F416F1">
              <w:rPr>
                <w:rFonts w:ascii="Times New Roman" w:hAnsi="Times New Roman" w:cs="Times New Roman"/>
              </w:rPr>
              <w:t xml:space="preserve">ò ricevere una dose stabile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di  </w:t>
            </w:r>
            <w:r w:rsidRPr="00F416F1">
              <w:rPr>
                <w:rFonts w:ascii="Times New Roman" w:hAnsi="Times New Roman" w:cs="Times New Roman"/>
              </w:rPr>
              <w:t>corticosteroidi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prima e durante lo studio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purchè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que</w:t>
            </w:r>
            <w:r w:rsidR="00F416F1" w:rsidRPr="00F416F1">
              <w:rPr>
                <w:rFonts w:ascii="Times New Roman" w:hAnsi="Times New Roman" w:cs="Times New Roman"/>
              </w:rPr>
              <w:t xml:space="preserve">sti siano stati avviati almeno  </w:t>
            </w:r>
            <w:r w:rsidRPr="00F416F1">
              <w:rPr>
                <w:rFonts w:ascii="Times New Roman" w:hAnsi="Times New Roman" w:cs="Times New Roman"/>
              </w:rPr>
              <w:t>4 settimane prima del trattamento;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18.Pazienti con compressione del midollo spinal</w:t>
            </w:r>
            <w:r w:rsidR="00F416F1" w:rsidRPr="00F416F1">
              <w:rPr>
                <w:rFonts w:ascii="Times New Roman" w:hAnsi="Times New Roman" w:cs="Times New Roman"/>
              </w:rPr>
              <w:t xml:space="preserve">e ameno che non si ritenga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che  </w:t>
            </w:r>
            <w:r w:rsidRPr="00F416F1">
              <w:rPr>
                <w:rFonts w:ascii="Times New Roman" w:hAnsi="Times New Roman" w:cs="Times New Roman"/>
              </w:rPr>
              <w:t>abbiano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ricevuto un trattamento definitivo per </w:t>
            </w:r>
            <w:r w:rsidR="00F416F1" w:rsidRPr="00F416F1">
              <w:rPr>
                <w:rFonts w:ascii="Times New Roman" w:hAnsi="Times New Roman" w:cs="Times New Roman"/>
              </w:rPr>
              <w:t xml:space="preserve">questo ed evidenza di malattia  </w:t>
            </w:r>
            <w:r w:rsidRPr="00F416F1">
              <w:rPr>
                <w:rFonts w:ascii="Times New Roman" w:hAnsi="Times New Roman" w:cs="Times New Roman"/>
              </w:rPr>
              <w:t>clinicamente stabile per 28 giorni;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19.ECG a riposo che indica condizioni cardiache incontrolla</w:t>
            </w:r>
            <w:r w:rsidR="00F416F1" w:rsidRPr="00F416F1">
              <w:rPr>
                <w:rFonts w:ascii="Times New Roman" w:hAnsi="Times New Roman" w:cs="Times New Roman"/>
              </w:rPr>
              <w:t xml:space="preserve">te e potenzialmente </w:t>
            </w:r>
            <w:r w:rsidRPr="00F416F1">
              <w:rPr>
                <w:rFonts w:ascii="Times New Roman" w:hAnsi="Times New Roman" w:cs="Times New Roman"/>
              </w:rPr>
              <w:t>irreversibili, come giudicato dallo sper</w:t>
            </w:r>
            <w:r w:rsidR="00F416F1" w:rsidRPr="00F416F1">
              <w:rPr>
                <w:rFonts w:ascii="Times New Roman" w:hAnsi="Times New Roman" w:cs="Times New Roman"/>
              </w:rPr>
              <w:t xml:space="preserve">imentatore (ad esempio ischemia </w:t>
            </w:r>
            <w:r w:rsidRPr="00F416F1">
              <w:rPr>
                <w:rFonts w:ascii="Times New Roman" w:hAnsi="Times New Roman" w:cs="Times New Roman"/>
              </w:rPr>
              <w:t>instabile, aritmia sintomatica non controllata, insu</w:t>
            </w:r>
            <w:r w:rsidR="00F416F1" w:rsidRPr="00F416F1">
              <w:rPr>
                <w:rFonts w:ascii="Times New Roman" w:hAnsi="Times New Roman" w:cs="Times New Roman"/>
              </w:rPr>
              <w:t xml:space="preserve">fficienza cardiaca congestizia, </w:t>
            </w:r>
            <w:r w:rsidRPr="00F416F1">
              <w:rPr>
                <w:rFonts w:ascii="Times New Roman" w:hAnsi="Times New Roman" w:cs="Times New Roman"/>
              </w:rPr>
              <w:t xml:space="preserve">prolungamento del </w:t>
            </w:r>
            <w:proofErr w:type="spellStart"/>
            <w:r w:rsidRPr="00F416F1">
              <w:rPr>
                <w:rFonts w:ascii="Times New Roman" w:hAnsi="Times New Roman" w:cs="Times New Roman"/>
              </w:rPr>
              <w:t>QTcF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&gt; 470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ms</w:t>
            </w:r>
            <w:proofErr w:type="spellEnd"/>
            <w:r w:rsidRPr="00F416F1">
              <w:rPr>
                <w:rFonts w:ascii="Times New Roman" w:hAnsi="Times New Roman" w:cs="Times New Roman"/>
              </w:rPr>
              <w:t>, disturbi elett</w:t>
            </w:r>
            <w:r w:rsidR="00F416F1" w:rsidRPr="00F416F1">
              <w:rPr>
                <w:rFonts w:ascii="Times New Roman" w:hAnsi="Times New Roman" w:cs="Times New Roman"/>
              </w:rPr>
              <w:t xml:space="preserve">rolitici,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ecc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), o pazienti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con  </w:t>
            </w:r>
            <w:r w:rsidRPr="00F416F1">
              <w:rPr>
                <w:rFonts w:ascii="Times New Roman" w:hAnsi="Times New Roman" w:cs="Times New Roman"/>
              </w:rPr>
              <w:t>sindrome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congenita del QT lungo;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20.Evidenza di qualsiasi altra condizione medic</w:t>
            </w:r>
            <w:r w:rsidR="00F416F1" w:rsidRPr="00F416F1">
              <w:rPr>
                <w:rFonts w:ascii="Times New Roman" w:hAnsi="Times New Roman" w:cs="Times New Roman"/>
              </w:rPr>
              <w:t xml:space="preserve">a, esame fisico o risultati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di  </w:t>
            </w:r>
            <w:r w:rsidRPr="00F416F1">
              <w:rPr>
                <w:rFonts w:ascii="Times New Roman" w:hAnsi="Times New Roman" w:cs="Times New Roman"/>
              </w:rPr>
              <w:t>laboratorio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che possono interferire con il trattame</w:t>
            </w:r>
            <w:r w:rsidR="00F416F1" w:rsidRPr="00F416F1">
              <w:rPr>
                <w:rFonts w:ascii="Times New Roman" w:hAnsi="Times New Roman" w:cs="Times New Roman"/>
              </w:rPr>
              <w:t xml:space="preserve">nto pianificato,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influenzarela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della paziente o esporre la paziente ad alto rischio di complicanze</w:t>
            </w:r>
            <w:r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t>correlate al trattamento;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21.Uso concomitante di forti inibitori del CYP3A (e</w:t>
            </w:r>
            <w:r w:rsidR="00F416F1" w:rsidRPr="00F416F1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Itraconazolo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telitromicina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claritromicina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inibitori della proteasi potenziati con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ritonavir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cobicistat</w:t>
            </w:r>
            <w:proofErr w:type="spellEnd"/>
            <w:r w:rsidRPr="00F416F1">
              <w:rPr>
                <w:rFonts w:ascii="Times New Roman" w:hAnsi="Times New Roman" w:cs="Times New Roman"/>
              </w:rPr>
              <w:t>,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F1">
              <w:rPr>
                <w:rFonts w:ascii="Times New Roman" w:hAnsi="Times New Roman" w:cs="Times New Roman"/>
              </w:rPr>
              <w:t>indinavir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saquinavir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nelfinavir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boceprevir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telaprevir</w:t>
            </w:r>
            <w:proofErr w:type="spellEnd"/>
            <w:r w:rsidRPr="00F416F1">
              <w:rPr>
                <w:rFonts w:ascii="Times New Roman" w:hAnsi="Times New Roman" w:cs="Times New Roman"/>
              </w:rPr>
              <w:t>) o moderati inibitori del</w:t>
            </w:r>
            <w:r w:rsidR="00F416F1" w:rsidRPr="00F416F1">
              <w:rPr>
                <w:rFonts w:ascii="Times New Roman" w:hAnsi="Times New Roman" w:cs="Times New Roman"/>
              </w:rPr>
              <w:t xml:space="preserve"> </w:t>
            </w:r>
            <w:r w:rsidRPr="00F416F1">
              <w:rPr>
                <w:rFonts w:ascii="Times New Roman" w:hAnsi="Times New Roman" w:cs="Times New Roman"/>
              </w:rPr>
              <w:lastRenderedPageBreak/>
              <w:t xml:space="preserve">CYP3A (es. </w:t>
            </w:r>
            <w:proofErr w:type="spellStart"/>
            <w:r w:rsidRPr="00F416F1">
              <w:rPr>
                <w:rFonts w:ascii="Times New Roman" w:hAnsi="Times New Roman" w:cs="Times New Roman"/>
              </w:rPr>
              <w:t>ciprofloxacina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eritromicina,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diltiaze</w:t>
            </w:r>
            <w:r w:rsidR="00F416F1" w:rsidRPr="00F416F1">
              <w:rPr>
                <w:rFonts w:ascii="Times New Roman" w:hAnsi="Times New Roman" w:cs="Times New Roman"/>
              </w:rPr>
              <w:t>m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fluconazolo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verapamil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Il  </w:t>
            </w:r>
            <w:r w:rsidRPr="00F416F1">
              <w:rPr>
                <w:rFonts w:ascii="Times New Roman" w:hAnsi="Times New Roman" w:cs="Times New Roman"/>
              </w:rPr>
              <w:t>periodo</w:t>
            </w:r>
            <w:proofErr w:type="gramEnd"/>
            <w:r w:rsidRPr="00F416F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416F1">
              <w:rPr>
                <w:rFonts w:ascii="Times New Roman" w:hAnsi="Times New Roman" w:cs="Times New Roman"/>
              </w:rPr>
              <w:t>washout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richiesto prima di iniziare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è di 2 settimane;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22.Uso concomitante di noti forti indutto</w:t>
            </w:r>
            <w:r w:rsidR="00F416F1" w:rsidRPr="00F416F1">
              <w:rPr>
                <w:rFonts w:ascii="Times New Roman" w:hAnsi="Times New Roman" w:cs="Times New Roman"/>
              </w:rPr>
              <w:t xml:space="preserve">ri del CYP3A4 (es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fenobarbital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enzatulamide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fenitoina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rifampicina,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rifabutina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rifa</w:t>
            </w:r>
            <w:r w:rsidR="00F416F1" w:rsidRPr="00F416F1">
              <w:rPr>
                <w:rFonts w:ascii="Times New Roman" w:hAnsi="Times New Roman" w:cs="Times New Roman"/>
              </w:rPr>
              <w:t>pentina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carbamazepina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nevirapina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e erba di San Giovanni) o mod</w:t>
            </w:r>
            <w:r w:rsidR="00F416F1" w:rsidRPr="00F416F1">
              <w:rPr>
                <w:rFonts w:ascii="Times New Roman" w:hAnsi="Times New Roman" w:cs="Times New Roman"/>
              </w:rPr>
              <w:t xml:space="preserve">erati induttori del CYP3A4 (es. </w:t>
            </w:r>
            <w:proofErr w:type="spellStart"/>
            <w:r w:rsidRPr="00F416F1">
              <w:rPr>
                <w:rFonts w:ascii="Times New Roman" w:hAnsi="Times New Roman" w:cs="Times New Roman"/>
              </w:rPr>
              <w:t>bosentan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efavirenz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modafinil</w:t>
            </w:r>
            <w:proofErr w:type="spellEnd"/>
            <w:r w:rsidRPr="00F416F1">
              <w:rPr>
                <w:rFonts w:ascii="Times New Roman" w:hAnsi="Times New Roman" w:cs="Times New Roman"/>
              </w:rPr>
              <w:t>). Il per</w:t>
            </w:r>
            <w:r w:rsidR="00F416F1" w:rsidRPr="00F416F1">
              <w:rPr>
                <w:rFonts w:ascii="Times New Roman" w:hAnsi="Times New Roman" w:cs="Times New Roman"/>
              </w:rPr>
              <w:t xml:space="preserve">iodo di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washout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richiesto prima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diiniziare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è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Olaparib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è 5 settimane per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enzatulamide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F416F1" w:rsidRPr="00F416F1">
              <w:rPr>
                <w:rFonts w:ascii="Times New Roman" w:hAnsi="Times New Roman" w:cs="Times New Roman"/>
              </w:rPr>
              <w:t>fenobarbital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e 3 </w:t>
            </w:r>
            <w:r w:rsidRPr="00F416F1">
              <w:rPr>
                <w:rFonts w:ascii="Times New Roman" w:hAnsi="Times New Roman" w:cs="Times New Roman"/>
              </w:rPr>
              <w:t>settimane per gli altri agenti farmaceutici;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 xml:space="preserve">23.Pazienti con nota ipersensibilità ad </w:t>
            </w:r>
            <w:proofErr w:type="spellStart"/>
            <w:r w:rsidRPr="00F416F1">
              <w:rPr>
                <w:rFonts w:ascii="Times New Roman" w:hAnsi="Times New Roman" w:cs="Times New Roman"/>
              </w:rPr>
              <w:t>Olapari</w:t>
            </w:r>
            <w:r w:rsidR="00F416F1" w:rsidRPr="00F416F1">
              <w:rPr>
                <w:rFonts w:ascii="Times New Roman" w:hAnsi="Times New Roman" w:cs="Times New Roman"/>
              </w:rPr>
              <w:t>b</w:t>
            </w:r>
            <w:proofErr w:type="spellEnd"/>
            <w:r w:rsidR="00F416F1" w:rsidRPr="00F416F1">
              <w:rPr>
                <w:rFonts w:ascii="Times New Roman" w:hAnsi="Times New Roman" w:cs="Times New Roman"/>
              </w:rPr>
              <w:t xml:space="preserve"> o a qualsiasi eccipiente </w:t>
            </w:r>
            <w:proofErr w:type="gramStart"/>
            <w:r w:rsidR="00F416F1" w:rsidRPr="00F416F1">
              <w:rPr>
                <w:rFonts w:ascii="Times New Roman" w:hAnsi="Times New Roman" w:cs="Times New Roman"/>
              </w:rPr>
              <w:t xml:space="preserve">del  </w:t>
            </w:r>
            <w:r w:rsidRPr="00F416F1">
              <w:rPr>
                <w:rFonts w:ascii="Times New Roman" w:hAnsi="Times New Roman" w:cs="Times New Roman"/>
              </w:rPr>
              <w:t>prodotto</w:t>
            </w:r>
            <w:proofErr w:type="gramEnd"/>
            <w:r w:rsidRPr="00F416F1">
              <w:rPr>
                <w:rFonts w:ascii="Times New Roman" w:hAnsi="Times New Roman" w:cs="Times New Roman"/>
              </w:rPr>
              <w:t>;</w:t>
            </w:r>
          </w:p>
          <w:p w:rsidR="00D975C2" w:rsidRPr="00F416F1" w:rsidRDefault="00D975C2" w:rsidP="00D975C2">
            <w:pPr>
              <w:jc w:val="both"/>
              <w:rPr>
                <w:rFonts w:ascii="Times New Roman" w:hAnsi="Times New Roman" w:cs="Times New Roman"/>
              </w:rPr>
            </w:pPr>
            <w:r w:rsidRPr="00F416F1">
              <w:rPr>
                <w:rFonts w:ascii="Times New Roman" w:hAnsi="Times New Roman" w:cs="Times New Roman"/>
              </w:rPr>
              <w:t>24.Presenza di qualsiasi altra condizione</w:t>
            </w:r>
            <w:r w:rsidR="00F416F1" w:rsidRPr="00F416F1">
              <w:rPr>
                <w:rFonts w:ascii="Times New Roman" w:hAnsi="Times New Roman" w:cs="Times New Roman"/>
              </w:rPr>
              <w:t xml:space="preserve"> che, secondo l’ opinione dello </w:t>
            </w:r>
            <w:r w:rsidRPr="00F416F1">
              <w:rPr>
                <w:rFonts w:ascii="Times New Roman" w:hAnsi="Times New Roman" w:cs="Times New Roman"/>
              </w:rPr>
              <w:t xml:space="preserve">Sperimentatore, </w:t>
            </w:r>
            <w:proofErr w:type="spellStart"/>
            <w:r w:rsidRPr="00F416F1">
              <w:rPr>
                <w:rFonts w:ascii="Times New Roman" w:hAnsi="Times New Roman" w:cs="Times New Roman"/>
              </w:rPr>
              <w:t>renderebbecontroindicata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la parte</w:t>
            </w:r>
            <w:r w:rsidR="00F416F1" w:rsidRPr="00F416F1">
              <w:rPr>
                <w:rFonts w:ascii="Times New Roman" w:hAnsi="Times New Roman" w:cs="Times New Roman"/>
              </w:rPr>
              <w:t xml:space="preserve">cipazione della paziente allo </w:t>
            </w:r>
            <w:r w:rsidRPr="00F416F1">
              <w:rPr>
                <w:rFonts w:ascii="Times New Roman" w:hAnsi="Times New Roman" w:cs="Times New Roman"/>
              </w:rPr>
              <w:t xml:space="preserve">studio o potrebbe interferire con l’interpretazione </w:t>
            </w:r>
            <w:proofErr w:type="spellStart"/>
            <w:r w:rsidRPr="00F416F1">
              <w:rPr>
                <w:rFonts w:ascii="Times New Roman" w:hAnsi="Times New Roman" w:cs="Times New Roman"/>
              </w:rPr>
              <w:t>deirisultati</w:t>
            </w:r>
            <w:proofErr w:type="spellEnd"/>
            <w:r w:rsidRPr="00F416F1">
              <w:rPr>
                <w:rFonts w:ascii="Times New Roman" w:hAnsi="Times New Roman" w:cs="Times New Roman"/>
              </w:rPr>
              <w:t xml:space="preserve"> dello studio.</w:t>
            </w:r>
          </w:p>
        </w:tc>
      </w:tr>
    </w:tbl>
    <w:p w:rsidR="00CA3BA2" w:rsidRDefault="00CA3BA2" w:rsidP="005C7179">
      <w:pPr>
        <w:jc w:val="both"/>
      </w:pPr>
    </w:p>
    <w:sectPr w:rsidR="00CA3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2"/>
    <w:rsid w:val="000F678E"/>
    <w:rsid w:val="005C7179"/>
    <w:rsid w:val="00650F49"/>
    <w:rsid w:val="00886BF2"/>
    <w:rsid w:val="00BD1F2A"/>
    <w:rsid w:val="00CA3BA2"/>
    <w:rsid w:val="00D975C2"/>
    <w:rsid w:val="00F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CF8"/>
  <w15:chartTrackingRefBased/>
  <w15:docId w15:val="{30CF48B6-8BB8-4312-9076-FE4127F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3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giacomo</dc:creator>
  <cp:keywords/>
  <dc:description/>
  <cp:lastModifiedBy>Giovanna Mollo</cp:lastModifiedBy>
  <cp:revision>2</cp:revision>
  <cp:lastPrinted>2023-02-14T13:30:00Z</cp:lastPrinted>
  <dcterms:created xsi:type="dcterms:W3CDTF">2023-02-17T09:57:00Z</dcterms:created>
  <dcterms:modified xsi:type="dcterms:W3CDTF">2023-02-17T09:57:00Z</dcterms:modified>
</cp:coreProperties>
</file>