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3BA2" w:rsidRPr="00CA3BA2" w:rsidRDefault="00CA3BA2" w:rsidP="00CA3BA2"/>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14"/>
        <w:gridCol w:w="4714"/>
      </w:tblGrid>
      <w:tr w:rsidR="00CA3BA2" w:rsidRPr="00311048" w:rsidTr="005C7179">
        <w:trPr>
          <w:trHeight w:val="477"/>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rPr>
              <w:t xml:space="preserve"> </w:t>
            </w:r>
            <w:r w:rsidRPr="00311048">
              <w:rPr>
                <w:rFonts w:ascii="Times New Roman" w:hAnsi="Times New Roman" w:cs="Times New Roman"/>
                <w:b/>
                <w:bCs/>
              </w:rPr>
              <w:t xml:space="preserve">Titolo dello studio </w:t>
            </w:r>
          </w:p>
        </w:tc>
        <w:tc>
          <w:tcPr>
            <w:tcW w:w="4714" w:type="dxa"/>
          </w:tcPr>
          <w:p w:rsidR="00CA3BA2" w:rsidRPr="00311048" w:rsidRDefault="00311048" w:rsidP="00F1730B">
            <w:pPr>
              <w:jc w:val="both"/>
              <w:rPr>
                <w:rFonts w:ascii="Times New Roman" w:hAnsi="Times New Roman" w:cs="Times New Roman"/>
              </w:rPr>
            </w:pPr>
            <w:r>
              <w:rPr>
                <w:rFonts w:ascii="Times New Roman" w:hAnsi="Times New Roman" w:cs="Times New Roman"/>
                <w:sz w:val="24"/>
                <w:szCs w:val="24"/>
              </w:rPr>
              <w:t xml:space="preserve">Studio MITO </w:t>
            </w:r>
            <w:r w:rsidR="001D685B" w:rsidRPr="00311048">
              <w:rPr>
                <w:rFonts w:ascii="Times New Roman" w:hAnsi="Times New Roman" w:cs="Times New Roman"/>
                <w:sz w:val="24"/>
                <w:szCs w:val="24"/>
              </w:rPr>
              <w:t>35b</w:t>
            </w:r>
            <w:r w:rsidR="00F1730B">
              <w:rPr>
                <w:rFonts w:ascii="Times New Roman" w:hAnsi="Times New Roman" w:cs="Times New Roman"/>
                <w:sz w:val="24"/>
                <w:szCs w:val="24"/>
              </w:rPr>
              <w:t>:</w:t>
            </w:r>
            <w:r w:rsidR="001D685B" w:rsidRPr="00311048">
              <w:rPr>
                <w:rFonts w:ascii="Times New Roman" w:hAnsi="Times New Roman" w:cs="Times New Roman"/>
                <w:sz w:val="24"/>
                <w:szCs w:val="24"/>
              </w:rPr>
              <w:t xml:space="preserve"> </w:t>
            </w:r>
            <w:proofErr w:type="spellStart"/>
            <w:r>
              <w:rPr>
                <w:rFonts w:ascii="Times New Roman" w:hAnsi="Times New Roman" w:cs="Times New Roman"/>
                <w:szCs w:val="24"/>
              </w:rPr>
              <w:t>O</w:t>
            </w:r>
            <w:r w:rsidRPr="00311048">
              <w:rPr>
                <w:rFonts w:ascii="Times New Roman" w:hAnsi="Times New Roman" w:cs="Times New Roman"/>
                <w:szCs w:val="24"/>
              </w:rPr>
              <w:t>laparib</w:t>
            </w:r>
            <w:proofErr w:type="spellEnd"/>
            <w:r w:rsidRPr="00311048">
              <w:rPr>
                <w:rFonts w:ascii="Times New Roman" w:hAnsi="Times New Roman" w:cs="Times New Roman"/>
                <w:szCs w:val="24"/>
              </w:rPr>
              <w:t xml:space="preserve"> oltre la progressione confrontato con chemioterapia a base di platino dopo </w:t>
            </w:r>
            <w:proofErr w:type="spellStart"/>
            <w:r w:rsidRPr="00311048">
              <w:rPr>
                <w:rFonts w:ascii="Times New Roman" w:hAnsi="Times New Roman" w:cs="Times New Roman"/>
                <w:szCs w:val="24"/>
              </w:rPr>
              <w:t>citoriduzione</w:t>
            </w:r>
            <w:proofErr w:type="spellEnd"/>
            <w:r w:rsidRPr="00311048">
              <w:rPr>
                <w:rFonts w:ascii="Times New Roman" w:hAnsi="Times New Roman" w:cs="Times New Roman"/>
                <w:szCs w:val="24"/>
              </w:rPr>
              <w:t xml:space="preserve"> secondaria in pazienti con recidiva d</w:t>
            </w:r>
            <w:r w:rsidR="00F1730B">
              <w:rPr>
                <w:rFonts w:ascii="Times New Roman" w:hAnsi="Times New Roman" w:cs="Times New Roman"/>
                <w:szCs w:val="24"/>
              </w:rPr>
              <w:t>a carcinoma ovarico. S</w:t>
            </w:r>
            <w:r w:rsidRPr="00311048">
              <w:rPr>
                <w:rFonts w:ascii="Times New Roman" w:hAnsi="Times New Roman" w:cs="Times New Roman"/>
                <w:szCs w:val="24"/>
              </w:rPr>
              <w:t>tudio di fase 3 randomizza</w:t>
            </w:r>
            <w:r w:rsidR="00F1730B">
              <w:rPr>
                <w:rFonts w:ascii="Times New Roman" w:hAnsi="Times New Roman" w:cs="Times New Roman"/>
                <w:szCs w:val="24"/>
              </w:rPr>
              <w:t>to.</w:t>
            </w:r>
            <w:bookmarkStart w:id="0" w:name="_GoBack"/>
            <w:bookmarkEnd w:id="0"/>
          </w:p>
        </w:tc>
      </w:tr>
      <w:tr w:rsidR="00CA3BA2" w:rsidRPr="00311048" w:rsidTr="005C7179">
        <w:trPr>
          <w:trHeight w:val="224"/>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Versione e data del protocollo </w:t>
            </w:r>
          </w:p>
        </w:tc>
        <w:tc>
          <w:tcPr>
            <w:tcW w:w="4714" w:type="dxa"/>
          </w:tcPr>
          <w:p w:rsidR="00BD1F2A" w:rsidRPr="00311048" w:rsidRDefault="00BD1F2A" w:rsidP="00BD1F2A">
            <w:pPr>
              <w:autoSpaceDE w:val="0"/>
              <w:autoSpaceDN w:val="0"/>
              <w:adjustRightInd w:val="0"/>
              <w:spacing w:after="0" w:line="240" w:lineRule="auto"/>
              <w:rPr>
                <w:rFonts w:ascii="Times New Roman" w:hAnsi="Times New Roman" w:cs="Times New Roman"/>
                <w:sz w:val="20"/>
                <w:szCs w:val="20"/>
              </w:rPr>
            </w:pPr>
            <w:r w:rsidRPr="00311048">
              <w:rPr>
                <w:rFonts w:ascii="Times New Roman" w:hAnsi="Times New Roman" w:cs="Times New Roman"/>
                <w:sz w:val="20"/>
                <w:szCs w:val="20"/>
              </w:rPr>
              <w:t>Version n. 2</w:t>
            </w:r>
          </w:p>
          <w:p w:rsidR="00CA3BA2" w:rsidRPr="00311048" w:rsidRDefault="00BD1F2A" w:rsidP="00BD1F2A">
            <w:pPr>
              <w:jc w:val="both"/>
              <w:rPr>
                <w:rFonts w:ascii="Times New Roman" w:hAnsi="Times New Roman" w:cs="Times New Roman"/>
              </w:rPr>
            </w:pPr>
            <w:r w:rsidRPr="00311048">
              <w:rPr>
                <w:rFonts w:ascii="Times New Roman" w:hAnsi="Times New Roman" w:cs="Times New Roman"/>
                <w:sz w:val="20"/>
                <w:szCs w:val="20"/>
              </w:rPr>
              <w:t>20 March, 2022</w:t>
            </w:r>
          </w:p>
        </w:tc>
      </w:tr>
      <w:tr w:rsidR="00CA3BA2" w:rsidRPr="00311048" w:rsidTr="005C7179">
        <w:trPr>
          <w:trHeight w:val="477"/>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Pazienti in studio </w:t>
            </w:r>
          </w:p>
        </w:tc>
        <w:tc>
          <w:tcPr>
            <w:tcW w:w="4714" w:type="dxa"/>
          </w:tcPr>
          <w:p w:rsidR="00CA3BA2" w:rsidRPr="00311048" w:rsidRDefault="001D685B" w:rsidP="005C7179">
            <w:pPr>
              <w:jc w:val="both"/>
              <w:rPr>
                <w:rFonts w:ascii="Times New Roman" w:hAnsi="Times New Roman" w:cs="Times New Roman"/>
              </w:rPr>
            </w:pPr>
            <w:r w:rsidRPr="00311048">
              <w:rPr>
                <w:rFonts w:ascii="Times New Roman" w:hAnsi="Times New Roman" w:cs="Times New Roman"/>
              </w:rPr>
              <w:t xml:space="preserve">Pazienti con tumore ovarico che hanno sviluppato una recidiva di malattia durante o dopo una terapia di mantenimento di prima linea con PARP inibitori e successivamente sottoposti a chirurgia </w:t>
            </w:r>
            <w:proofErr w:type="spellStart"/>
            <w:r w:rsidRPr="00311048">
              <w:rPr>
                <w:rFonts w:ascii="Times New Roman" w:hAnsi="Times New Roman" w:cs="Times New Roman"/>
              </w:rPr>
              <w:t>citoriduttiva</w:t>
            </w:r>
            <w:proofErr w:type="spellEnd"/>
            <w:r w:rsidRPr="00311048">
              <w:rPr>
                <w:rFonts w:ascii="Times New Roman" w:hAnsi="Times New Roman" w:cs="Times New Roman"/>
              </w:rPr>
              <w:t xml:space="preserve"> secondaria.</w:t>
            </w:r>
          </w:p>
        </w:tc>
      </w:tr>
      <w:tr w:rsidR="00CA3BA2" w:rsidRPr="00311048" w:rsidTr="005C7179">
        <w:trPr>
          <w:trHeight w:val="165"/>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Gruppo di intervento </w:t>
            </w:r>
          </w:p>
        </w:tc>
        <w:tc>
          <w:tcPr>
            <w:tcW w:w="4714" w:type="dxa"/>
          </w:tcPr>
          <w:p w:rsidR="00CA3BA2" w:rsidRPr="00311048" w:rsidRDefault="00650F49" w:rsidP="005C7179">
            <w:pPr>
              <w:jc w:val="both"/>
              <w:rPr>
                <w:rFonts w:ascii="Times New Roman" w:hAnsi="Times New Roman" w:cs="Times New Roman"/>
              </w:rPr>
            </w:pPr>
            <w:r w:rsidRPr="00311048">
              <w:rPr>
                <w:rFonts w:ascii="Times New Roman" w:hAnsi="Times New Roman" w:cs="Times New Roman"/>
              </w:rPr>
              <w:t xml:space="preserve">OLAPARIB </w:t>
            </w:r>
          </w:p>
        </w:tc>
      </w:tr>
      <w:tr w:rsidR="00CA3BA2" w:rsidRPr="00311048" w:rsidTr="005C7179">
        <w:trPr>
          <w:trHeight w:val="165"/>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Gruppo di controllo </w:t>
            </w:r>
          </w:p>
        </w:tc>
        <w:tc>
          <w:tcPr>
            <w:tcW w:w="4714" w:type="dxa"/>
          </w:tcPr>
          <w:p w:rsidR="001D685B" w:rsidRPr="00311048" w:rsidRDefault="001D685B" w:rsidP="005C7179">
            <w:pPr>
              <w:jc w:val="both"/>
              <w:rPr>
                <w:rFonts w:ascii="Times New Roman" w:hAnsi="Times New Roman" w:cs="Times New Roman"/>
              </w:rPr>
            </w:pPr>
            <w:r w:rsidRPr="00311048">
              <w:rPr>
                <w:rFonts w:ascii="Times New Roman" w:hAnsi="Times New Roman" w:cs="Times New Roman"/>
              </w:rPr>
              <w:t xml:space="preserve">Chemioterapia standard a base di platino a scelta dell’Investigator. Sono ammessi i seguenti </w:t>
            </w:r>
            <w:proofErr w:type="spellStart"/>
            <w:r w:rsidRPr="00311048">
              <w:rPr>
                <w:rFonts w:ascii="Times New Roman" w:hAnsi="Times New Roman" w:cs="Times New Roman"/>
              </w:rPr>
              <w:t>regimidi</w:t>
            </w:r>
            <w:proofErr w:type="spellEnd"/>
            <w:r w:rsidRPr="00311048">
              <w:rPr>
                <w:rFonts w:ascii="Times New Roman" w:hAnsi="Times New Roman" w:cs="Times New Roman"/>
              </w:rPr>
              <w:t xml:space="preserve"> chemioterapia: </w:t>
            </w:r>
          </w:p>
          <w:p w:rsidR="001D685B" w:rsidRPr="00311048" w:rsidRDefault="001D685B" w:rsidP="005C7179">
            <w:pPr>
              <w:jc w:val="both"/>
              <w:rPr>
                <w:rFonts w:ascii="Times New Roman" w:hAnsi="Times New Roman" w:cs="Times New Roman"/>
              </w:rPr>
            </w:pPr>
            <w:r w:rsidRPr="00311048">
              <w:rPr>
                <w:rFonts w:ascii="Times New Roman" w:hAnsi="Times New Roman" w:cs="Times New Roman"/>
              </w:rPr>
              <w:t xml:space="preserve">• </w:t>
            </w:r>
            <w:proofErr w:type="spellStart"/>
            <w:r w:rsidRPr="00311048">
              <w:rPr>
                <w:rFonts w:ascii="Times New Roman" w:hAnsi="Times New Roman" w:cs="Times New Roman"/>
              </w:rPr>
              <w:t>Carboplatino</w:t>
            </w:r>
            <w:proofErr w:type="spellEnd"/>
            <w:r w:rsidRPr="00311048">
              <w:rPr>
                <w:rFonts w:ascii="Times New Roman" w:hAnsi="Times New Roman" w:cs="Times New Roman"/>
              </w:rPr>
              <w:t xml:space="preserve"> (AUC5) + </w:t>
            </w:r>
            <w:proofErr w:type="spellStart"/>
            <w:r w:rsidRPr="00311048">
              <w:rPr>
                <w:rFonts w:ascii="Times New Roman" w:hAnsi="Times New Roman" w:cs="Times New Roman"/>
              </w:rPr>
              <w:t>Doxorubicina</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liposomiale</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peghilata</w:t>
            </w:r>
            <w:proofErr w:type="spellEnd"/>
            <w:r w:rsidRPr="00311048">
              <w:rPr>
                <w:rFonts w:ascii="Times New Roman" w:hAnsi="Times New Roman" w:cs="Times New Roman"/>
              </w:rPr>
              <w:t xml:space="preserve">(30mg/m2) ogni 28 giorni per un massimo di 8 cicli; </w:t>
            </w:r>
          </w:p>
          <w:p w:rsidR="001D685B" w:rsidRPr="00311048" w:rsidRDefault="001D685B" w:rsidP="005C7179">
            <w:pPr>
              <w:jc w:val="both"/>
              <w:rPr>
                <w:rFonts w:ascii="Times New Roman" w:hAnsi="Times New Roman" w:cs="Times New Roman"/>
              </w:rPr>
            </w:pPr>
            <w:r w:rsidRPr="00311048">
              <w:rPr>
                <w:rFonts w:ascii="Times New Roman" w:hAnsi="Times New Roman" w:cs="Times New Roman"/>
              </w:rPr>
              <w:t xml:space="preserve">• </w:t>
            </w:r>
            <w:proofErr w:type="spellStart"/>
            <w:r w:rsidRPr="00311048">
              <w:rPr>
                <w:rFonts w:ascii="Times New Roman" w:hAnsi="Times New Roman" w:cs="Times New Roman"/>
              </w:rPr>
              <w:t>Carboplatino</w:t>
            </w:r>
            <w:proofErr w:type="spellEnd"/>
            <w:r w:rsidRPr="00311048">
              <w:rPr>
                <w:rFonts w:ascii="Times New Roman" w:hAnsi="Times New Roman" w:cs="Times New Roman"/>
              </w:rPr>
              <w:t xml:space="preserve"> (AUC4) + </w:t>
            </w:r>
            <w:proofErr w:type="spellStart"/>
            <w:r w:rsidRPr="00311048">
              <w:rPr>
                <w:rFonts w:ascii="Times New Roman" w:hAnsi="Times New Roman" w:cs="Times New Roman"/>
              </w:rPr>
              <w:t>Gembitabina</w:t>
            </w:r>
            <w:proofErr w:type="spellEnd"/>
            <w:r w:rsidRPr="00311048">
              <w:rPr>
                <w:rFonts w:ascii="Times New Roman" w:hAnsi="Times New Roman" w:cs="Times New Roman"/>
              </w:rPr>
              <w:t xml:space="preserve"> 1000mg/m2 giorno 1e giorno 8 ogni 21 giorni per un massino di 8 cicli; </w:t>
            </w:r>
          </w:p>
          <w:p w:rsidR="00CA3BA2" w:rsidRPr="00311048" w:rsidRDefault="001D685B" w:rsidP="005C7179">
            <w:pPr>
              <w:jc w:val="both"/>
              <w:rPr>
                <w:rFonts w:ascii="Times New Roman" w:hAnsi="Times New Roman" w:cs="Times New Roman"/>
              </w:rPr>
            </w:pPr>
            <w:r w:rsidRPr="00311048">
              <w:rPr>
                <w:rFonts w:ascii="Times New Roman" w:hAnsi="Times New Roman" w:cs="Times New Roman"/>
              </w:rPr>
              <w:t xml:space="preserve">• </w:t>
            </w:r>
            <w:proofErr w:type="spellStart"/>
            <w:r w:rsidRPr="00311048">
              <w:rPr>
                <w:rFonts w:ascii="Times New Roman" w:hAnsi="Times New Roman" w:cs="Times New Roman"/>
              </w:rPr>
              <w:t>Carboplatino</w:t>
            </w:r>
            <w:proofErr w:type="spellEnd"/>
            <w:r w:rsidRPr="00311048">
              <w:rPr>
                <w:rFonts w:ascii="Times New Roman" w:hAnsi="Times New Roman" w:cs="Times New Roman"/>
              </w:rPr>
              <w:t xml:space="preserve"> (AUC5) + </w:t>
            </w:r>
            <w:proofErr w:type="spellStart"/>
            <w:r w:rsidRPr="00311048">
              <w:rPr>
                <w:rFonts w:ascii="Times New Roman" w:hAnsi="Times New Roman" w:cs="Times New Roman"/>
              </w:rPr>
              <w:t>Paclitaxel</w:t>
            </w:r>
            <w:proofErr w:type="spellEnd"/>
            <w:r w:rsidRPr="00311048">
              <w:rPr>
                <w:rFonts w:ascii="Times New Roman" w:hAnsi="Times New Roman" w:cs="Times New Roman"/>
              </w:rPr>
              <w:t xml:space="preserve"> 175mg/m2 ogni 21 </w:t>
            </w:r>
            <w:proofErr w:type="spellStart"/>
            <w:r w:rsidRPr="00311048">
              <w:rPr>
                <w:rFonts w:ascii="Times New Roman" w:hAnsi="Times New Roman" w:cs="Times New Roman"/>
              </w:rPr>
              <w:t>giorniper</w:t>
            </w:r>
            <w:proofErr w:type="spellEnd"/>
            <w:r w:rsidRPr="00311048">
              <w:rPr>
                <w:rFonts w:ascii="Times New Roman" w:hAnsi="Times New Roman" w:cs="Times New Roman"/>
              </w:rPr>
              <w:t xml:space="preserve"> un massino di 8 cicli;</w:t>
            </w:r>
          </w:p>
        </w:tc>
      </w:tr>
      <w:tr w:rsidR="00CA3BA2" w:rsidRPr="00311048" w:rsidTr="005C7179">
        <w:trPr>
          <w:trHeight w:val="479"/>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Promotore </w:t>
            </w:r>
          </w:p>
        </w:tc>
        <w:tc>
          <w:tcPr>
            <w:tcW w:w="4714" w:type="dxa"/>
          </w:tcPr>
          <w:p w:rsidR="00CA3BA2" w:rsidRPr="00311048" w:rsidRDefault="000F678E" w:rsidP="000F678E">
            <w:pPr>
              <w:jc w:val="both"/>
              <w:rPr>
                <w:rFonts w:ascii="Times New Roman" w:hAnsi="Times New Roman" w:cs="Times New Roman"/>
              </w:rPr>
            </w:pPr>
            <w:r w:rsidRPr="00311048">
              <w:rPr>
                <w:rFonts w:ascii="Times New Roman" w:hAnsi="Times New Roman" w:cs="Times New Roman"/>
              </w:rPr>
              <w:t>Istituto Nazionale</w:t>
            </w:r>
            <w:r w:rsidR="00650F49" w:rsidRPr="00311048">
              <w:rPr>
                <w:rFonts w:ascii="Times New Roman" w:hAnsi="Times New Roman" w:cs="Times New Roman"/>
              </w:rPr>
              <w:t xml:space="preserve"> </w:t>
            </w:r>
            <w:r w:rsidRPr="00311048">
              <w:rPr>
                <w:rFonts w:ascii="Times New Roman" w:hAnsi="Times New Roman" w:cs="Times New Roman"/>
              </w:rPr>
              <w:t>Tumori, IRCCS, Fondazione “</w:t>
            </w:r>
            <w:proofErr w:type="spellStart"/>
            <w:r w:rsidRPr="00311048">
              <w:rPr>
                <w:rFonts w:ascii="Times New Roman" w:hAnsi="Times New Roman" w:cs="Times New Roman"/>
              </w:rPr>
              <w:t>G.Pascale</w:t>
            </w:r>
            <w:proofErr w:type="spellEnd"/>
            <w:r w:rsidRPr="00311048">
              <w:rPr>
                <w:rFonts w:ascii="Times New Roman" w:hAnsi="Times New Roman" w:cs="Times New Roman"/>
              </w:rPr>
              <w:t>” Napoli</w:t>
            </w:r>
          </w:p>
        </w:tc>
      </w:tr>
      <w:tr w:rsidR="00CA3BA2" w:rsidRPr="00311048" w:rsidTr="005C7179">
        <w:trPr>
          <w:trHeight w:val="605"/>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Centro Coordinatore </w:t>
            </w:r>
          </w:p>
        </w:tc>
        <w:tc>
          <w:tcPr>
            <w:tcW w:w="4714" w:type="dxa"/>
          </w:tcPr>
          <w:p w:rsidR="00CA3BA2" w:rsidRPr="00311048" w:rsidRDefault="000F678E" w:rsidP="000F678E">
            <w:pPr>
              <w:jc w:val="both"/>
              <w:rPr>
                <w:rFonts w:ascii="Times New Roman" w:hAnsi="Times New Roman" w:cs="Times New Roman"/>
              </w:rPr>
            </w:pPr>
            <w:r w:rsidRPr="00311048">
              <w:rPr>
                <w:rFonts w:ascii="Times New Roman" w:hAnsi="Times New Roman" w:cs="Times New Roman"/>
              </w:rPr>
              <w:t>Istituto Nazionale</w:t>
            </w:r>
            <w:r w:rsidR="00650F49" w:rsidRPr="00311048">
              <w:rPr>
                <w:rFonts w:ascii="Times New Roman" w:hAnsi="Times New Roman" w:cs="Times New Roman"/>
              </w:rPr>
              <w:t xml:space="preserve"> </w:t>
            </w:r>
            <w:r w:rsidRPr="00311048">
              <w:rPr>
                <w:rFonts w:ascii="Times New Roman" w:hAnsi="Times New Roman" w:cs="Times New Roman"/>
              </w:rPr>
              <w:t>Tumori, IRCCS, Fondazione “</w:t>
            </w:r>
            <w:proofErr w:type="spellStart"/>
            <w:r w:rsidRPr="00311048">
              <w:rPr>
                <w:rFonts w:ascii="Times New Roman" w:hAnsi="Times New Roman" w:cs="Times New Roman"/>
              </w:rPr>
              <w:t>G.Pascale</w:t>
            </w:r>
            <w:proofErr w:type="spellEnd"/>
            <w:r w:rsidRPr="00311048">
              <w:rPr>
                <w:rFonts w:ascii="Times New Roman" w:hAnsi="Times New Roman" w:cs="Times New Roman"/>
              </w:rPr>
              <w:t>” Napoli</w:t>
            </w:r>
          </w:p>
        </w:tc>
      </w:tr>
      <w:tr w:rsidR="00CA3BA2" w:rsidRPr="00311048" w:rsidTr="005C7179">
        <w:trPr>
          <w:trHeight w:val="272"/>
        </w:trPr>
        <w:tc>
          <w:tcPr>
            <w:tcW w:w="4714" w:type="dxa"/>
          </w:tcPr>
          <w:p w:rsidR="00CA3BA2" w:rsidRPr="00311048" w:rsidRDefault="00CA3BA2" w:rsidP="005C7179">
            <w:pPr>
              <w:jc w:val="both"/>
              <w:rPr>
                <w:rFonts w:ascii="Times New Roman" w:hAnsi="Times New Roman" w:cs="Times New Roman"/>
              </w:rPr>
            </w:pPr>
            <w:proofErr w:type="spellStart"/>
            <w:r w:rsidRPr="00311048">
              <w:rPr>
                <w:rFonts w:ascii="Times New Roman" w:hAnsi="Times New Roman" w:cs="Times New Roman"/>
                <w:b/>
                <w:bCs/>
              </w:rPr>
              <w:t>Clinical</w:t>
            </w:r>
            <w:proofErr w:type="spellEnd"/>
            <w:r w:rsidRPr="00311048">
              <w:rPr>
                <w:rFonts w:ascii="Times New Roman" w:hAnsi="Times New Roman" w:cs="Times New Roman"/>
                <w:b/>
                <w:bCs/>
              </w:rPr>
              <w:t xml:space="preserve"> </w:t>
            </w:r>
            <w:proofErr w:type="spellStart"/>
            <w:r w:rsidRPr="00311048">
              <w:rPr>
                <w:rFonts w:ascii="Times New Roman" w:hAnsi="Times New Roman" w:cs="Times New Roman"/>
                <w:b/>
                <w:bCs/>
              </w:rPr>
              <w:t>Research</w:t>
            </w:r>
            <w:proofErr w:type="spellEnd"/>
            <w:r w:rsidRPr="00311048">
              <w:rPr>
                <w:rFonts w:ascii="Times New Roman" w:hAnsi="Times New Roman" w:cs="Times New Roman"/>
                <w:b/>
                <w:bCs/>
              </w:rPr>
              <w:t xml:space="preserve"> </w:t>
            </w:r>
          </w:p>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Organization (CRO) </w:t>
            </w:r>
          </w:p>
        </w:tc>
        <w:tc>
          <w:tcPr>
            <w:tcW w:w="4714" w:type="dxa"/>
          </w:tcPr>
          <w:p w:rsidR="00CA3BA2" w:rsidRPr="00311048" w:rsidRDefault="00650F49" w:rsidP="005C7179">
            <w:pPr>
              <w:jc w:val="both"/>
              <w:rPr>
                <w:rFonts w:ascii="Times New Roman" w:hAnsi="Times New Roman" w:cs="Times New Roman"/>
              </w:rPr>
            </w:pPr>
            <w:r w:rsidRPr="00311048">
              <w:rPr>
                <w:rFonts w:ascii="Times New Roman" w:hAnsi="Times New Roman" w:cs="Times New Roman"/>
              </w:rPr>
              <w:t>NA</w:t>
            </w:r>
          </w:p>
        </w:tc>
      </w:tr>
      <w:tr w:rsidR="00CA3BA2" w:rsidRPr="00311048" w:rsidTr="005C7179">
        <w:trPr>
          <w:trHeight w:val="99"/>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Centri partecipanti </w:t>
            </w:r>
          </w:p>
        </w:tc>
        <w:tc>
          <w:tcPr>
            <w:tcW w:w="4714" w:type="dxa"/>
          </w:tcPr>
          <w:p w:rsidR="00CA3BA2" w:rsidRPr="00311048" w:rsidRDefault="001D685B" w:rsidP="005C7179">
            <w:pPr>
              <w:jc w:val="both"/>
              <w:rPr>
                <w:rFonts w:ascii="Times New Roman" w:hAnsi="Times New Roman" w:cs="Times New Roman"/>
              </w:rPr>
            </w:pPr>
            <w:r w:rsidRPr="00311048">
              <w:rPr>
                <w:rFonts w:ascii="Times New Roman" w:hAnsi="Times New Roman" w:cs="Times New Roman"/>
              </w:rPr>
              <w:t>42</w:t>
            </w:r>
          </w:p>
        </w:tc>
      </w:tr>
      <w:tr w:rsidR="00CA3BA2" w:rsidRPr="00311048" w:rsidTr="005C7179">
        <w:trPr>
          <w:trHeight w:val="99"/>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Numero di soggetti </w:t>
            </w:r>
          </w:p>
        </w:tc>
        <w:tc>
          <w:tcPr>
            <w:tcW w:w="4714" w:type="dxa"/>
          </w:tcPr>
          <w:p w:rsidR="00CA3BA2" w:rsidRPr="00311048" w:rsidRDefault="00650F49" w:rsidP="005C7179">
            <w:pPr>
              <w:jc w:val="both"/>
              <w:rPr>
                <w:rFonts w:ascii="Times New Roman" w:hAnsi="Times New Roman" w:cs="Times New Roman"/>
              </w:rPr>
            </w:pPr>
            <w:r w:rsidRPr="00311048">
              <w:rPr>
                <w:rFonts w:ascii="Times New Roman" w:hAnsi="Times New Roman" w:cs="Times New Roman"/>
              </w:rPr>
              <w:t>200</w:t>
            </w:r>
          </w:p>
        </w:tc>
      </w:tr>
      <w:tr w:rsidR="00CA3BA2" w:rsidRPr="00311048" w:rsidTr="005C7179">
        <w:trPr>
          <w:trHeight w:val="605"/>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Durata dello studio </w:t>
            </w:r>
          </w:p>
        </w:tc>
        <w:tc>
          <w:tcPr>
            <w:tcW w:w="4714" w:type="dxa"/>
          </w:tcPr>
          <w:p w:rsidR="00CA3BA2" w:rsidRPr="00311048" w:rsidRDefault="00650F49" w:rsidP="005C7179">
            <w:pPr>
              <w:jc w:val="both"/>
              <w:rPr>
                <w:rFonts w:ascii="Times New Roman" w:hAnsi="Times New Roman" w:cs="Times New Roman"/>
              </w:rPr>
            </w:pPr>
            <w:r w:rsidRPr="00311048">
              <w:rPr>
                <w:rFonts w:ascii="Times New Roman" w:hAnsi="Times New Roman" w:cs="Times New Roman"/>
              </w:rPr>
              <w:t>Una stima della durata totale dello studio è 48 mesi.</w:t>
            </w:r>
          </w:p>
        </w:tc>
      </w:tr>
      <w:tr w:rsidR="00CA3BA2" w:rsidRPr="00311048" w:rsidTr="005C7179">
        <w:trPr>
          <w:trHeight w:val="99"/>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Periodo di arruolamento </w:t>
            </w:r>
          </w:p>
        </w:tc>
        <w:tc>
          <w:tcPr>
            <w:tcW w:w="4714" w:type="dxa"/>
          </w:tcPr>
          <w:p w:rsidR="00CA3BA2" w:rsidRPr="00311048" w:rsidRDefault="000F678E" w:rsidP="005C7179">
            <w:pPr>
              <w:jc w:val="both"/>
              <w:rPr>
                <w:rFonts w:ascii="Times New Roman" w:hAnsi="Times New Roman" w:cs="Times New Roman"/>
              </w:rPr>
            </w:pPr>
            <w:r w:rsidRPr="00311048">
              <w:rPr>
                <w:rFonts w:ascii="Times New Roman" w:hAnsi="Times New Roman" w:cs="Times New Roman"/>
              </w:rPr>
              <w:t>24 mesi</w:t>
            </w:r>
          </w:p>
        </w:tc>
      </w:tr>
      <w:tr w:rsidR="00CA3BA2" w:rsidRPr="00311048" w:rsidTr="005C7179">
        <w:trPr>
          <w:trHeight w:val="99"/>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t xml:space="preserve">Disegno dello studio </w:t>
            </w:r>
          </w:p>
        </w:tc>
        <w:tc>
          <w:tcPr>
            <w:tcW w:w="4714" w:type="dxa"/>
          </w:tcPr>
          <w:p w:rsidR="001D685B" w:rsidRPr="00311048" w:rsidRDefault="001D685B" w:rsidP="000F678E">
            <w:pPr>
              <w:jc w:val="both"/>
              <w:rPr>
                <w:rFonts w:ascii="Times New Roman" w:hAnsi="Times New Roman" w:cs="Times New Roman"/>
              </w:rPr>
            </w:pPr>
            <w:r w:rsidRPr="00311048">
              <w:rPr>
                <w:rFonts w:ascii="Times New Roman" w:hAnsi="Times New Roman" w:cs="Times New Roman"/>
              </w:rPr>
              <w:t xml:space="preserve">Lo studio MITO 35b è uno studio di fase 3 randomizzato che intende valutare se una terapia con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è superiore, in </w:t>
            </w:r>
            <w:proofErr w:type="spellStart"/>
            <w:r w:rsidRPr="00311048">
              <w:rPr>
                <w:rFonts w:ascii="Times New Roman" w:hAnsi="Times New Roman" w:cs="Times New Roman"/>
              </w:rPr>
              <w:t>terminidi</w:t>
            </w:r>
            <w:proofErr w:type="spellEnd"/>
            <w:r w:rsidRPr="00311048">
              <w:rPr>
                <w:rFonts w:ascii="Times New Roman" w:hAnsi="Times New Roman" w:cs="Times New Roman"/>
              </w:rPr>
              <w:t xml:space="preserve"> sopravvivenza libera da progressione, ad una chemioterapia standard in pazienti con tumore ovarico che hanno sviluppato una recidiva di </w:t>
            </w:r>
            <w:r w:rsidRPr="00311048">
              <w:rPr>
                <w:rFonts w:ascii="Times New Roman" w:hAnsi="Times New Roman" w:cs="Times New Roman"/>
              </w:rPr>
              <w:lastRenderedPageBreak/>
              <w:t xml:space="preserve">malattia durante o dopo una terapia di mantenimento di prima linea con PARP inibitori e successivamente sottoposti a chirurgia </w:t>
            </w:r>
            <w:proofErr w:type="spellStart"/>
            <w:r w:rsidRPr="00311048">
              <w:rPr>
                <w:rFonts w:ascii="Times New Roman" w:hAnsi="Times New Roman" w:cs="Times New Roman"/>
              </w:rPr>
              <w:t>citoriduttiva</w:t>
            </w:r>
            <w:proofErr w:type="spellEnd"/>
            <w:r w:rsidRPr="00311048">
              <w:rPr>
                <w:rFonts w:ascii="Times New Roman" w:hAnsi="Times New Roman" w:cs="Times New Roman"/>
              </w:rPr>
              <w:t xml:space="preserve"> secondaria. I pazienti eleggibili verranno randomizzati con rapporto 1:1 a ricevere: </w:t>
            </w:r>
          </w:p>
          <w:p w:rsidR="001D685B" w:rsidRPr="00311048" w:rsidRDefault="001D685B" w:rsidP="000F678E">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ARM A: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300 mg, compresse rivestite con film, bis in die, d1-28 continuativamente </w:t>
            </w:r>
          </w:p>
          <w:p w:rsidR="001D685B" w:rsidRPr="00311048" w:rsidRDefault="001D685B" w:rsidP="000F678E">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ARM B: Chemioterapia a base di platino a </w:t>
            </w:r>
            <w:proofErr w:type="spellStart"/>
            <w:r w:rsidRPr="00311048">
              <w:rPr>
                <w:rFonts w:ascii="Times New Roman" w:hAnsi="Times New Roman" w:cs="Times New Roman"/>
              </w:rPr>
              <w:t>sceltadell’Investigatore</w:t>
            </w:r>
            <w:proofErr w:type="spellEnd"/>
            <w:r w:rsidRPr="00311048">
              <w:rPr>
                <w:rFonts w:ascii="Times New Roman" w:hAnsi="Times New Roman" w:cs="Times New Roman"/>
              </w:rPr>
              <w:t xml:space="preserve"> </w:t>
            </w:r>
          </w:p>
          <w:p w:rsidR="00CA3BA2" w:rsidRPr="00311048" w:rsidRDefault="001D685B" w:rsidP="000F678E">
            <w:pPr>
              <w:jc w:val="both"/>
              <w:rPr>
                <w:rFonts w:ascii="Times New Roman" w:hAnsi="Times New Roman" w:cs="Times New Roman"/>
              </w:rPr>
            </w:pPr>
            <w:r w:rsidRPr="00311048">
              <w:rPr>
                <w:rFonts w:ascii="Times New Roman" w:hAnsi="Times New Roman" w:cs="Times New Roman"/>
              </w:rPr>
              <w:t xml:space="preserve">La randomizzazione (1:1) sarà gestita mediante una procedura automatica di minimizzazione che includerà a) stato dei geni BRCA 1/2 (mutato vs wild </w:t>
            </w:r>
            <w:proofErr w:type="spellStart"/>
            <w:r w:rsidRPr="00311048">
              <w:rPr>
                <w:rFonts w:ascii="Times New Roman" w:hAnsi="Times New Roman" w:cs="Times New Roman"/>
              </w:rPr>
              <w:t>type</w:t>
            </w:r>
            <w:proofErr w:type="spellEnd"/>
            <w:r w:rsidRPr="00311048">
              <w:rPr>
                <w:rFonts w:ascii="Times New Roman" w:hAnsi="Times New Roman" w:cs="Times New Roman"/>
              </w:rPr>
              <w:t xml:space="preserve">); b) malattia residua dopo </w:t>
            </w:r>
            <w:proofErr w:type="spellStart"/>
            <w:r w:rsidRPr="00311048">
              <w:rPr>
                <w:rFonts w:ascii="Times New Roman" w:hAnsi="Times New Roman" w:cs="Times New Roman"/>
              </w:rPr>
              <w:t>chirurgiasecondaria</w:t>
            </w:r>
            <w:proofErr w:type="spellEnd"/>
            <w:r w:rsidRPr="00311048">
              <w:rPr>
                <w:rFonts w:ascii="Times New Roman" w:hAnsi="Times New Roman" w:cs="Times New Roman"/>
              </w:rPr>
              <w:t xml:space="preserve"> (assente vs presente); c) tipo di ricaduta di malattia (recidiva in corso di terapia con </w:t>
            </w:r>
            <w:proofErr w:type="spellStart"/>
            <w:r w:rsidRPr="00311048">
              <w:rPr>
                <w:rFonts w:ascii="Times New Roman" w:hAnsi="Times New Roman" w:cs="Times New Roman"/>
              </w:rPr>
              <w:t>PARPi</w:t>
            </w:r>
            <w:proofErr w:type="spellEnd"/>
            <w:r w:rsidRPr="00311048">
              <w:rPr>
                <w:rFonts w:ascii="Times New Roman" w:hAnsi="Times New Roman" w:cs="Times New Roman"/>
              </w:rPr>
              <w:t xml:space="preserve"> vs recidiva dopo il termine della stessa). Lo studio è dimensionato per testare l'ipotesi che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(braccio sperimentale) vs un'ulteriore linea di chemioterapia prolunghi la PFS e /o la PFS 2 con un HR di 0.60. Considerando un test log- </w:t>
            </w:r>
            <w:proofErr w:type="spellStart"/>
            <w:r w:rsidRPr="00311048">
              <w:rPr>
                <w:rFonts w:ascii="Times New Roman" w:hAnsi="Times New Roman" w:cs="Times New Roman"/>
              </w:rPr>
              <w:t>rank</w:t>
            </w:r>
            <w:proofErr w:type="spellEnd"/>
            <w:r w:rsidRPr="00311048">
              <w:rPr>
                <w:rFonts w:ascii="Times New Roman" w:hAnsi="Times New Roman" w:cs="Times New Roman"/>
              </w:rPr>
              <w:t xml:space="preserve"> a due code con alfa di 0,025, per raggiungere una potenza dell'80%, il follow-up verrà continuato fino a raggiungere 146 eventi necessari per l'analisi finale. Lo studio prevede di arruolare 200 pazienti. Lo studio prevede un’analisi ad interim di futilità che verrà condotta dopo 50 eventi. In caso di futilità, la randomizzazione di ulteriori pazienti nello studio verrà interrotta. Al fine di consentire, la continuazione del progetto traslazionale, lo studio potrà proseguire con il solo arruolamento dei pazienti nel braccio di controllo (</w:t>
            </w:r>
            <w:proofErr w:type="spellStart"/>
            <w:r w:rsidRPr="00311048">
              <w:rPr>
                <w:rFonts w:ascii="Times New Roman" w:hAnsi="Times New Roman" w:cs="Times New Roman"/>
              </w:rPr>
              <w:t>Arm</w:t>
            </w:r>
            <w:proofErr w:type="spellEnd"/>
            <w:r w:rsidRPr="00311048">
              <w:rPr>
                <w:rFonts w:ascii="Times New Roman" w:hAnsi="Times New Roman" w:cs="Times New Roman"/>
              </w:rPr>
              <w:t xml:space="preserve"> B), solo a seguito di un emendamento al protocollo.</w:t>
            </w:r>
          </w:p>
        </w:tc>
      </w:tr>
      <w:tr w:rsidR="00CA3BA2" w:rsidRPr="00311048" w:rsidTr="005C7179">
        <w:trPr>
          <w:trHeight w:val="734"/>
        </w:trPr>
        <w:tc>
          <w:tcPr>
            <w:tcW w:w="4714" w:type="dxa"/>
          </w:tcPr>
          <w:p w:rsidR="00CA3BA2" w:rsidRPr="00311048" w:rsidRDefault="00CA3BA2" w:rsidP="005C7179">
            <w:pPr>
              <w:jc w:val="both"/>
              <w:rPr>
                <w:rFonts w:ascii="Times New Roman" w:hAnsi="Times New Roman" w:cs="Times New Roman"/>
              </w:rPr>
            </w:pPr>
            <w:r w:rsidRPr="00311048">
              <w:rPr>
                <w:rFonts w:ascii="Times New Roman" w:hAnsi="Times New Roman" w:cs="Times New Roman"/>
                <w:b/>
                <w:bCs/>
              </w:rPr>
              <w:lastRenderedPageBreak/>
              <w:t xml:space="preserve">Obiettivo primario </w:t>
            </w:r>
          </w:p>
        </w:tc>
        <w:tc>
          <w:tcPr>
            <w:tcW w:w="4714" w:type="dxa"/>
          </w:tcPr>
          <w:p w:rsidR="001D685B" w:rsidRPr="00311048" w:rsidRDefault="001D685B" w:rsidP="000F678E">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Valutare l’efficacia (in termini di sopravvivenza libera da progressione, PFS) del trattamento con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rispettoad</w:t>
            </w:r>
            <w:proofErr w:type="spellEnd"/>
            <w:r w:rsidRPr="00311048">
              <w:rPr>
                <w:rFonts w:ascii="Times New Roman" w:hAnsi="Times New Roman" w:cs="Times New Roman"/>
              </w:rPr>
              <w:t xml:space="preserve"> una terapia standard a base di platino in pazienti con carcinoma ovarico sottoposti a </w:t>
            </w:r>
            <w:proofErr w:type="spellStart"/>
            <w:r w:rsidRPr="00311048">
              <w:rPr>
                <w:rFonts w:ascii="Times New Roman" w:hAnsi="Times New Roman" w:cs="Times New Roman"/>
              </w:rPr>
              <w:t>citoriduzione</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secondariadopo</w:t>
            </w:r>
            <w:proofErr w:type="spellEnd"/>
            <w:r w:rsidRPr="00311048">
              <w:rPr>
                <w:rFonts w:ascii="Times New Roman" w:hAnsi="Times New Roman" w:cs="Times New Roman"/>
              </w:rPr>
              <w:t xml:space="preserve"> progressione a PARP inibitori </w:t>
            </w:r>
          </w:p>
          <w:p w:rsidR="00CA3BA2" w:rsidRPr="00311048" w:rsidRDefault="001D685B" w:rsidP="000F678E">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Compare i due trattamenti in termini di sopravvivenza libera dalla seconda progressione 2 (PFS-2</w:t>
            </w:r>
          </w:p>
        </w:tc>
      </w:tr>
      <w:tr w:rsidR="00CA3BA2" w:rsidRPr="00311048" w:rsidTr="005C7179">
        <w:trPr>
          <w:trHeight w:val="734"/>
        </w:trPr>
        <w:tc>
          <w:tcPr>
            <w:tcW w:w="4714" w:type="dxa"/>
          </w:tcPr>
          <w:p w:rsidR="00CA3BA2" w:rsidRPr="00311048" w:rsidRDefault="00CA3BA2" w:rsidP="005C7179">
            <w:pPr>
              <w:jc w:val="both"/>
              <w:rPr>
                <w:rFonts w:ascii="Times New Roman" w:hAnsi="Times New Roman" w:cs="Times New Roman"/>
                <w:b/>
                <w:bCs/>
              </w:rPr>
            </w:pPr>
            <w:r w:rsidRPr="00311048">
              <w:rPr>
                <w:rFonts w:ascii="Times New Roman" w:hAnsi="Times New Roman" w:cs="Times New Roman"/>
                <w:b/>
                <w:bCs/>
              </w:rPr>
              <w:t xml:space="preserve">Obiettivi secondari </w:t>
            </w:r>
          </w:p>
        </w:tc>
        <w:tc>
          <w:tcPr>
            <w:tcW w:w="4714" w:type="dxa"/>
          </w:tcPr>
          <w:p w:rsidR="001D685B" w:rsidRPr="00311048" w:rsidRDefault="001D685B" w:rsidP="001D685B">
            <w:pPr>
              <w:jc w:val="both"/>
              <w:rPr>
                <w:rFonts w:ascii="Times New Roman" w:hAnsi="Times New Roman" w:cs="Times New Roman"/>
              </w:rPr>
            </w:pPr>
            <w:r w:rsidRPr="00311048">
              <w:rPr>
                <w:rFonts w:ascii="Times New Roman" w:hAnsi="Times New Roman" w:cs="Times New Roman"/>
              </w:rPr>
              <w:t xml:space="preserve">•Confrontare il braccio sperimentale e il braccio standard in termini di: </w:t>
            </w:r>
            <w:r w:rsidRPr="00311048">
              <w:rPr>
                <w:rFonts w:ascii="Times New Roman" w:hAnsi="Times New Roman" w:cs="Times New Roman"/>
              </w:rPr>
              <w:sym w:font="Symbol" w:char="F0B7"/>
            </w:r>
            <w:r w:rsidRPr="00311048">
              <w:rPr>
                <w:rFonts w:ascii="Times New Roman" w:hAnsi="Times New Roman" w:cs="Times New Roman"/>
              </w:rPr>
              <w:t xml:space="preserve"> Sopravvivenza globale (OS) </w:t>
            </w:r>
          </w:p>
          <w:p w:rsidR="001D685B" w:rsidRPr="00311048" w:rsidRDefault="001D685B"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Profilo di tossicità (CTCAE versione 5.0 e PRO-CTCAE) </w:t>
            </w:r>
            <w:r w:rsidRPr="00311048">
              <w:rPr>
                <w:rFonts w:ascii="Times New Roman" w:hAnsi="Times New Roman" w:cs="Times New Roman"/>
              </w:rPr>
              <w:sym w:font="Symbol" w:char="F0B7"/>
            </w:r>
            <w:r w:rsidRPr="00311048">
              <w:rPr>
                <w:rFonts w:ascii="Times New Roman" w:hAnsi="Times New Roman" w:cs="Times New Roman"/>
              </w:rPr>
              <w:t xml:space="preserve"> Qualità della vita (questionario EORTC QLQ-C30) </w:t>
            </w:r>
          </w:p>
          <w:p w:rsidR="001D685B" w:rsidRPr="00311048" w:rsidRDefault="001D685B" w:rsidP="005C7179">
            <w:pPr>
              <w:jc w:val="both"/>
              <w:rPr>
                <w:rFonts w:ascii="Times New Roman" w:hAnsi="Times New Roman" w:cs="Times New Roman"/>
              </w:rPr>
            </w:pPr>
            <w:r w:rsidRPr="00311048">
              <w:rPr>
                <w:rFonts w:ascii="Times New Roman" w:hAnsi="Times New Roman" w:cs="Times New Roman"/>
              </w:rPr>
              <w:lastRenderedPageBreak/>
              <w:sym w:font="Symbol" w:char="F0B7"/>
            </w:r>
            <w:r w:rsidRPr="00311048">
              <w:rPr>
                <w:rFonts w:ascii="Times New Roman" w:hAnsi="Times New Roman" w:cs="Times New Roman"/>
              </w:rPr>
              <w:t xml:space="preserve"> Tossicità finanziaria (questionario PROFFIT) </w:t>
            </w:r>
          </w:p>
          <w:p w:rsidR="001D685B" w:rsidRPr="00311048" w:rsidRDefault="001D685B"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Esplorare i meccanismi di resistenza ad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attraversol'analisi</w:t>
            </w:r>
            <w:proofErr w:type="spellEnd"/>
            <w:r w:rsidRPr="00311048">
              <w:rPr>
                <w:rFonts w:ascii="Times New Roman" w:hAnsi="Times New Roman" w:cs="Times New Roman"/>
              </w:rPr>
              <w:t xml:space="preserve"> molecolare di campioni di tumore raccolti alle chirurgie </w:t>
            </w:r>
          </w:p>
          <w:p w:rsidR="00CA3BA2" w:rsidRPr="00311048" w:rsidRDefault="001D685B"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Descrivere le variazioni nei livelli di espressione dei </w:t>
            </w:r>
            <w:proofErr w:type="spellStart"/>
            <w:r w:rsidRPr="00311048">
              <w:rPr>
                <w:rFonts w:ascii="Times New Roman" w:hAnsi="Times New Roman" w:cs="Times New Roman"/>
              </w:rPr>
              <w:t>biomarcatori</w:t>
            </w:r>
            <w:proofErr w:type="spellEnd"/>
            <w:r w:rsidRPr="00311048">
              <w:rPr>
                <w:rFonts w:ascii="Times New Roman" w:hAnsi="Times New Roman" w:cs="Times New Roman"/>
              </w:rPr>
              <w:t xml:space="preserve"> solubili raccolti prima, durante e alla fine del trattamento</w:t>
            </w:r>
          </w:p>
        </w:tc>
      </w:tr>
      <w:tr w:rsidR="00CA3BA2" w:rsidRPr="00311048" w:rsidTr="005C7179">
        <w:trPr>
          <w:trHeight w:val="734"/>
        </w:trPr>
        <w:tc>
          <w:tcPr>
            <w:tcW w:w="4714" w:type="dxa"/>
          </w:tcPr>
          <w:p w:rsidR="00CA3BA2" w:rsidRPr="00311048" w:rsidRDefault="00CA3BA2" w:rsidP="005C7179">
            <w:pPr>
              <w:jc w:val="both"/>
              <w:rPr>
                <w:rFonts w:ascii="Times New Roman" w:hAnsi="Times New Roman" w:cs="Times New Roman"/>
                <w:b/>
                <w:bCs/>
              </w:rPr>
            </w:pPr>
            <w:r w:rsidRPr="00311048">
              <w:rPr>
                <w:rFonts w:ascii="Times New Roman" w:hAnsi="Times New Roman" w:cs="Times New Roman"/>
                <w:b/>
                <w:bCs/>
              </w:rPr>
              <w:lastRenderedPageBreak/>
              <w:t xml:space="preserve">Obiettivi esploratori </w:t>
            </w:r>
          </w:p>
        </w:tc>
        <w:tc>
          <w:tcPr>
            <w:tcW w:w="4714" w:type="dxa"/>
          </w:tcPr>
          <w:p w:rsidR="00311048" w:rsidRPr="00311048" w:rsidRDefault="001D685B" w:rsidP="005C7179">
            <w:pPr>
              <w:jc w:val="both"/>
              <w:rPr>
                <w:rFonts w:ascii="Times New Roman" w:hAnsi="Times New Roman" w:cs="Times New Roman"/>
              </w:rPr>
            </w:pPr>
            <w:r w:rsidRPr="00311048">
              <w:rPr>
                <w:rFonts w:ascii="Times New Roman" w:hAnsi="Times New Roman" w:cs="Times New Roman"/>
              </w:rPr>
              <w:t xml:space="preserve">Lo studio prevede di raccogliere campioni biologici: </w:t>
            </w:r>
          </w:p>
          <w:p w:rsidR="00311048" w:rsidRPr="00311048" w:rsidRDefault="001D685B" w:rsidP="005C7179">
            <w:pPr>
              <w:jc w:val="both"/>
              <w:rPr>
                <w:rFonts w:ascii="Times New Roman" w:hAnsi="Times New Roman" w:cs="Times New Roman"/>
              </w:rPr>
            </w:pPr>
            <w:r w:rsidRPr="00311048">
              <w:rPr>
                <w:rFonts w:ascii="Times New Roman" w:hAnsi="Times New Roman" w:cs="Times New Roman"/>
              </w:rPr>
              <w:t xml:space="preserve">1) Campioni di tessuto tumorale di archivio fissati in formalina e inclusi in paraffina (FFPE) corrispondenti alla chirurgia primaria e alla chirurgia secondaria di </w:t>
            </w:r>
            <w:proofErr w:type="spellStart"/>
            <w:r w:rsidRPr="00311048">
              <w:rPr>
                <w:rFonts w:ascii="Times New Roman" w:hAnsi="Times New Roman" w:cs="Times New Roman"/>
              </w:rPr>
              <w:t>citoriduzione</w:t>
            </w:r>
            <w:proofErr w:type="spellEnd"/>
            <w:r w:rsidRPr="00311048">
              <w:rPr>
                <w:rFonts w:ascii="Times New Roman" w:hAnsi="Times New Roman" w:cs="Times New Roman"/>
              </w:rPr>
              <w:t xml:space="preserve">. È previsto un controllo centralizzato, di qualità dei campioni tumorali. Solo le pazienti i cui campioni tumorali verranno giudicati idonei/adeguati potranno essere randomizzate. </w:t>
            </w:r>
          </w:p>
          <w:p w:rsidR="00311048" w:rsidRPr="00311048" w:rsidRDefault="001D685B" w:rsidP="005C7179">
            <w:pPr>
              <w:jc w:val="both"/>
              <w:rPr>
                <w:rFonts w:ascii="Times New Roman" w:hAnsi="Times New Roman" w:cs="Times New Roman"/>
              </w:rPr>
            </w:pPr>
            <w:r w:rsidRPr="00311048">
              <w:rPr>
                <w:rFonts w:ascii="Times New Roman" w:hAnsi="Times New Roman" w:cs="Times New Roman"/>
              </w:rPr>
              <w:t xml:space="preserve">2) Biopsie liquide (campioni ematici) saranno effettuate per ciascun paziente ai seguenti tre tempi: al basale (prima del trattamento), alla prima rivalutazione radiologica (circa 12 settimane dall’ inizio del trattamento), e alla visita di fine trattamento (EOT). Si prevede di raccogliere 25 ml di sangue al prelievo basale e 20 ml ai prelievi successivi. Il progetto traslazionale prevede le seguenti analisi: </w:t>
            </w:r>
          </w:p>
          <w:p w:rsidR="00311048" w:rsidRPr="00311048" w:rsidRDefault="001D685B"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Valutazione genomica della resistenza </w:t>
            </w:r>
            <w:proofErr w:type="spellStart"/>
            <w:r w:rsidRPr="00311048">
              <w:rPr>
                <w:rFonts w:ascii="Times New Roman" w:hAnsi="Times New Roman" w:cs="Times New Roman"/>
              </w:rPr>
              <w:t>PARPi</w:t>
            </w:r>
            <w:proofErr w:type="spellEnd"/>
            <w:r w:rsidRPr="00311048">
              <w:rPr>
                <w:rFonts w:ascii="Times New Roman" w:hAnsi="Times New Roman" w:cs="Times New Roman"/>
              </w:rPr>
              <w:t xml:space="preserve"> (funzionalità di HRR (</w:t>
            </w:r>
            <w:proofErr w:type="spellStart"/>
            <w:r w:rsidRPr="00311048">
              <w:rPr>
                <w:rFonts w:ascii="Times New Roman" w:hAnsi="Times New Roman" w:cs="Times New Roman"/>
              </w:rPr>
              <w:t>Homologous</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Recombination</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Repair</w:t>
            </w:r>
            <w:proofErr w:type="spellEnd"/>
            <w:r w:rsidRPr="00311048">
              <w:rPr>
                <w:rFonts w:ascii="Times New Roman" w:hAnsi="Times New Roman" w:cs="Times New Roman"/>
              </w:rPr>
              <w:t xml:space="preserve">) mediante lo studio di RAD51 foci. </w:t>
            </w:r>
          </w:p>
          <w:p w:rsidR="00CA3BA2" w:rsidRPr="00311048" w:rsidRDefault="001D685B"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Integrazione di profili </w:t>
            </w:r>
            <w:proofErr w:type="spellStart"/>
            <w:r w:rsidRPr="00311048">
              <w:rPr>
                <w:rFonts w:ascii="Times New Roman" w:hAnsi="Times New Roman" w:cs="Times New Roman"/>
              </w:rPr>
              <w:t>epigenomici</w:t>
            </w:r>
            <w:proofErr w:type="spellEnd"/>
            <w:r w:rsidRPr="00311048">
              <w:rPr>
                <w:rFonts w:ascii="Times New Roman" w:hAnsi="Times New Roman" w:cs="Times New Roman"/>
              </w:rPr>
              <w:t xml:space="preserve"> e trascritto mici.</w:t>
            </w:r>
          </w:p>
          <w:p w:rsidR="00311048" w:rsidRPr="00311048" w:rsidRDefault="00311048"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Valutazione Meccanismi di HRD e correlazione </w:t>
            </w:r>
            <w:proofErr w:type="spellStart"/>
            <w:r w:rsidRPr="00311048">
              <w:rPr>
                <w:rFonts w:ascii="Times New Roman" w:hAnsi="Times New Roman" w:cs="Times New Roman"/>
              </w:rPr>
              <w:t>conangiogenesi</w:t>
            </w:r>
            <w:proofErr w:type="spellEnd"/>
            <w:r w:rsidRPr="00311048">
              <w:rPr>
                <w:rFonts w:ascii="Times New Roman" w:hAnsi="Times New Roman" w:cs="Times New Roman"/>
              </w:rPr>
              <w:t xml:space="preserve"> e </w:t>
            </w:r>
            <w:proofErr w:type="spellStart"/>
            <w:r w:rsidRPr="00311048">
              <w:rPr>
                <w:rFonts w:ascii="Times New Roman" w:hAnsi="Times New Roman" w:cs="Times New Roman"/>
              </w:rPr>
              <w:t>biomarcatori</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immuno</w:t>
            </w:r>
            <w:proofErr w:type="spellEnd"/>
            <w:r w:rsidRPr="00311048">
              <w:rPr>
                <w:rFonts w:ascii="Times New Roman" w:hAnsi="Times New Roman" w:cs="Times New Roman"/>
              </w:rPr>
              <w:t xml:space="preserve">-correlati: • Valutazione dell'infiltrato immunitario (CD4, CD8, CD68e PD-L1) </w:t>
            </w:r>
          </w:p>
          <w:p w:rsidR="00311048" w:rsidRPr="00311048" w:rsidRDefault="00311048" w:rsidP="005C7179">
            <w:pPr>
              <w:jc w:val="both"/>
              <w:rPr>
                <w:rFonts w:ascii="Times New Roman" w:hAnsi="Times New Roman" w:cs="Times New Roman"/>
              </w:rPr>
            </w:pPr>
            <w:r w:rsidRPr="00311048">
              <w:rPr>
                <w:rFonts w:ascii="Times New Roman" w:hAnsi="Times New Roman" w:cs="Times New Roman"/>
              </w:rPr>
              <w:t xml:space="preserve">• Valutazione della struttura linfoide terziaria (TLS) • Valutazione del </w:t>
            </w:r>
            <w:proofErr w:type="spellStart"/>
            <w:r w:rsidRPr="00311048">
              <w:rPr>
                <w:rFonts w:ascii="Times New Roman" w:hAnsi="Times New Roman" w:cs="Times New Roman"/>
              </w:rPr>
              <w:t>pathway</w:t>
            </w:r>
            <w:proofErr w:type="spellEnd"/>
            <w:r w:rsidRPr="00311048">
              <w:rPr>
                <w:rFonts w:ascii="Times New Roman" w:hAnsi="Times New Roman" w:cs="Times New Roman"/>
              </w:rPr>
              <w:t xml:space="preserve"> di STING (INFα, INF</w:t>
            </w:r>
            <w:proofErr w:type="gramStart"/>
            <w:r w:rsidRPr="00311048">
              <w:rPr>
                <w:rFonts w:ascii="Times New Roman" w:hAnsi="Times New Roman" w:cs="Times New Roman"/>
              </w:rPr>
              <w:t>β,CXCL</w:t>
            </w:r>
            <w:proofErr w:type="gramEnd"/>
            <w:r w:rsidRPr="00311048">
              <w:rPr>
                <w:rFonts w:ascii="Times New Roman" w:hAnsi="Times New Roman" w:cs="Times New Roman"/>
              </w:rPr>
              <w:t xml:space="preserve">5-10) • Valutazione dell’espressione di </w:t>
            </w:r>
            <w:proofErr w:type="spellStart"/>
            <w:r w:rsidRPr="00311048">
              <w:rPr>
                <w:rFonts w:ascii="Times New Roman" w:hAnsi="Times New Roman" w:cs="Times New Roman"/>
              </w:rPr>
              <w:t>miRNA</w:t>
            </w:r>
            <w:proofErr w:type="spellEnd"/>
            <w:r w:rsidRPr="00311048">
              <w:rPr>
                <w:rFonts w:ascii="Times New Roman" w:hAnsi="Times New Roman" w:cs="Times New Roman"/>
              </w:rPr>
              <w:t xml:space="preserve"> e marcatori dell’angiogenesi (VEGFA, VEGFB, </w:t>
            </w:r>
            <w:proofErr w:type="spellStart"/>
            <w:r w:rsidRPr="00311048">
              <w:rPr>
                <w:rFonts w:ascii="Times New Roman" w:hAnsi="Times New Roman" w:cs="Times New Roman"/>
              </w:rPr>
              <w:t>PlGF</w:t>
            </w:r>
            <w:proofErr w:type="spellEnd"/>
            <w:r w:rsidRPr="00311048">
              <w:rPr>
                <w:rFonts w:ascii="Times New Roman" w:hAnsi="Times New Roman" w:cs="Times New Roman"/>
              </w:rPr>
              <w:t xml:space="preserve">, VEGFR1 and 2, CD31, CD34 e αSMA). </w:t>
            </w:r>
          </w:p>
          <w:p w:rsidR="00311048" w:rsidRPr="00311048" w:rsidRDefault="00311048"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Valutazione tramite Mass </w:t>
            </w:r>
            <w:proofErr w:type="spellStart"/>
            <w:r w:rsidRPr="00311048">
              <w:rPr>
                <w:rFonts w:ascii="Times New Roman" w:hAnsi="Times New Roman" w:cs="Times New Roman"/>
              </w:rPr>
              <w:t>Spectrometry</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Imaging</w:t>
            </w:r>
            <w:proofErr w:type="spellEnd"/>
            <w:r w:rsidRPr="00311048">
              <w:rPr>
                <w:rFonts w:ascii="Times New Roman" w:hAnsi="Times New Roman" w:cs="Times New Roman"/>
              </w:rPr>
              <w:t xml:space="preserve"> (MSI) delle seguenti proteine e </w:t>
            </w:r>
            <w:proofErr w:type="spellStart"/>
            <w:r w:rsidRPr="00311048">
              <w:rPr>
                <w:rFonts w:ascii="Times New Roman" w:hAnsi="Times New Roman" w:cs="Times New Roman"/>
              </w:rPr>
              <w:t>pathways</w:t>
            </w:r>
            <w:proofErr w:type="spellEnd"/>
            <w:r w:rsidRPr="00311048">
              <w:rPr>
                <w:rFonts w:ascii="Times New Roman" w:hAnsi="Times New Roman" w:cs="Times New Roman"/>
              </w:rPr>
              <w:t xml:space="preserve">: i) enzimi della </w:t>
            </w:r>
            <w:proofErr w:type="spellStart"/>
            <w:r w:rsidRPr="00311048">
              <w:rPr>
                <w:rFonts w:ascii="Times New Roman" w:hAnsi="Times New Roman" w:cs="Times New Roman"/>
              </w:rPr>
              <w:t>famigliaPARP</w:t>
            </w:r>
            <w:proofErr w:type="spellEnd"/>
            <w:r w:rsidRPr="00311048">
              <w:rPr>
                <w:rFonts w:ascii="Times New Roman" w:hAnsi="Times New Roman" w:cs="Times New Roman"/>
              </w:rPr>
              <w:t xml:space="preserve"> (PARP 1-3), marcatori del ciclo cellulare: (ii) Cdh1, Cdc20, </w:t>
            </w:r>
            <w:proofErr w:type="spellStart"/>
            <w:r w:rsidRPr="00311048">
              <w:rPr>
                <w:rFonts w:ascii="Times New Roman" w:hAnsi="Times New Roman" w:cs="Times New Roman"/>
              </w:rPr>
              <w:t>cyclin</w:t>
            </w:r>
            <w:proofErr w:type="spellEnd"/>
            <w:r w:rsidRPr="00311048">
              <w:rPr>
                <w:rFonts w:ascii="Times New Roman" w:hAnsi="Times New Roman" w:cs="Times New Roman"/>
              </w:rPr>
              <w:t xml:space="preserve"> B1, Aurora </w:t>
            </w:r>
            <w:r w:rsidRPr="00311048">
              <w:rPr>
                <w:rFonts w:ascii="Times New Roman" w:hAnsi="Times New Roman" w:cs="Times New Roman"/>
              </w:rPr>
              <w:lastRenderedPageBreak/>
              <w:t xml:space="preserve">A, </w:t>
            </w:r>
            <w:proofErr w:type="spellStart"/>
            <w:r w:rsidRPr="00311048">
              <w:rPr>
                <w:rFonts w:ascii="Times New Roman" w:hAnsi="Times New Roman" w:cs="Times New Roman"/>
              </w:rPr>
              <w:t>cyclin</w:t>
            </w:r>
            <w:proofErr w:type="spellEnd"/>
            <w:r w:rsidRPr="00311048">
              <w:rPr>
                <w:rFonts w:ascii="Times New Roman" w:hAnsi="Times New Roman" w:cs="Times New Roman"/>
              </w:rPr>
              <w:t xml:space="preserve"> A, p27kip1 </w:t>
            </w:r>
            <w:proofErr w:type="spellStart"/>
            <w:r w:rsidRPr="00311048">
              <w:rPr>
                <w:rFonts w:ascii="Times New Roman" w:hAnsi="Times New Roman" w:cs="Times New Roman"/>
              </w:rPr>
              <w:t>Cyclin</w:t>
            </w:r>
            <w:proofErr w:type="spellEnd"/>
            <w:r w:rsidRPr="00311048">
              <w:rPr>
                <w:rFonts w:ascii="Times New Roman" w:hAnsi="Times New Roman" w:cs="Times New Roman"/>
              </w:rPr>
              <w:t xml:space="preserve"> E; </w:t>
            </w:r>
            <w:proofErr w:type="spellStart"/>
            <w:r w:rsidRPr="00311048">
              <w:rPr>
                <w:rFonts w:ascii="Times New Roman" w:hAnsi="Times New Roman" w:cs="Times New Roman"/>
              </w:rPr>
              <w:t>Skp</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phospho</w:t>
            </w:r>
            <w:proofErr w:type="spellEnd"/>
            <w:r w:rsidRPr="00311048">
              <w:rPr>
                <w:rFonts w:ascii="Times New Roman" w:hAnsi="Times New Roman" w:cs="Times New Roman"/>
              </w:rPr>
              <w:t xml:space="preserve"> Histone-H3 (pHH3), mitosi. ii) DDR (ATM, ATR). iii) proteine BET iv) ATP-</w:t>
            </w:r>
            <w:proofErr w:type="spellStart"/>
            <w:r w:rsidRPr="00311048">
              <w:rPr>
                <w:rFonts w:ascii="Times New Roman" w:hAnsi="Times New Roman" w:cs="Times New Roman"/>
              </w:rPr>
              <w:t>binding</w:t>
            </w:r>
            <w:proofErr w:type="spellEnd"/>
            <w:r w:rsidRPr="00311048">
              <w:rPr>
                <w:rFonts w:ascii="Times New Roman" w:hAnsi="Times New Roman" w:cs="Times New Roman"/>
              </w:rPr>
              <w:t xml:space="preserve"> cassette (ABC) </w:t>
            </w:r>
            <w:proofErr w:type="spellStart"/>
            <w:r w:rsidRPr="00311048">
              <w:rPr>
                <w:rFonts w:ascii="Times New Roman" w:hAnsi="Times New Roman" w:cs="Times New Roman"/>
              </w:rPr>
              <w:t>transporters</w:t>
            </w:r>
            <w:proofErr w:type="spellEnd"/>
            <w:r w:rsidRPr="00311048">
              <w:rPr>
                <w:rFonts w:ascii="Times New Roman" w:hAnsi="Times New Roman" w:cs="Times New Roman"/>
              </w:rPr>
              <w:t xml:space="preserve"> ABCB1. </w:t>
            </w:r>
          </w:p>
          <w:p w:rsidR="00311048" w:rsidRPr="00311048" w:rsidRDefault="00311048" w:rsidP="005C7179">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Analisi farmacogenetica (DNA germinale) dei polimorfismi di alcuni geni coinvolti metabolismo dei farmaci (CYP3A4,CYP3A5, ABCB1 e </w:t>
            </w:r>
            <w:proofErr w:type="spellStart"/>
            <w:r w:rsidRPr="00311048">
              <w:rPr>
                <w:rFonts w:ascii="Times New Roman" w:hAnsi="Times New Roman" w:cs="Times New Roman"/>
              </w:rPr>
              <w:t>AOTs</w:t>
            </w:r>
            <w:proofErr w:type="spellEnd"/>
            <w:r w:rsidRPr="00311048">
              <w:rPr>
                <w:rFonts w:ascii="Times New Roman" w:hAnsi="Times New Roman" w:cs="Times New Roman"/>
              </w:rPr>
              <w:t>).</w:t>
            </w:r>
          </w:p>
        </w:tc>
      </w:tr>
      <w:tr w:rsidR="00CA3BA2" w:rsidRPr="00311048" w:rsidTr="005C7179">
        <w:trPr>
          <w:trHeight w:val="734"/>
        </w:trPr>
        <w:tc>
          <w:tcPr>
            <w:tcW w:w="4714" w:type="dxa"/>
          </w:tcPr>
          <w:p w:rsidR="00CA3BA2" w:rsidRPr="00311048" w:rsidRDefault="00CA3BA2" w:rsidP="005C7179">
            <w:pPr>
              <w:jc w:val="both"/>
              <w:rPr>
                <w:rFonts w:ascii="Times New Roman" w:hAnsi="Times New Roman" w:cs="Times New Roman"/>
                <w:b/>
                <w:bCs/>
              </w:rPr>
            </w:pPr>
            <w:r w:rsidRPr="00311048">
              <w:rPr>
                <w:rFonts w:ascii="Times New Roman" w:hAnsi="Times New Roman" w:cs="Times New Roman"/>
                <w:b/>
                <w:bCs/>
              </w:rPr>
              <w:lastRenderedPageBreak/>
              <w:t xml:space="preserve">Criteri di inclusione/esclusione </w:t>
            </w:r>
          </w:p>
        </w:tc>
        <w:tc>
          <w:tcPr>
            <w:tcW w:w="4714" w:type="dxa"/>
          </w:tcPr>
          <w:p w:rsidR="00311048" w:rsidRPr="00311048" w:rsidRDefault="00311048" w:rsidP="00D975C2">
            <w:pPr>
              <w:jc w:val="both"/>
              <w:rPr>
                <w:rFonts w:ascii="Times New Roman" w:hAnsi="Times New Roman" w:cs="Times New Roman"/>
              </w:rPr>
            </w:pPr>
            <w:r w:rsidRPr="00311048">
              <w:rPr>
                <w:rFonts w:ascii="Times New Roman" w:hAnsi="Times New Roman" w:cs="Times New Roman"/>
                <w:b/>
              </w:rPr>
              <w:t>Criteri di inclusione:</w:t>
            </w:r>
            <w:r w:rsidRPr="00311048">
              <w:rPr>
                <w:rFonts w:ascii="Times New Roman" w:hAnsi="Times New Roman" w:cs="Times New Roman"/>
              </w:rPr>
              <w:t xml:space="preserv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Firma del modulo di consenso informato prima di </w:t>
            </w:r>
            <w:proofErr w:type="spellStart"/>
            <w:r w:rsidRPr="00311048">
              <w:rPr>
                <w:rFonts w:ascii="Times New Roman" w:hAnsi="Times New Roman" w:cs="Times New Roman"/>
              </w:rPr>
              <w:t>ognispecifica</w:t>
            </w:r>
            <w:proofErr w:type="spellEnd"/>
            <w:r w:rsidRPr="00311048">
              <w:rPr>
                <w:rFonts w:ascii="Times New Roman" w:hAnsi="Times New Roman" w:cs="Times New Roman"/>
              </w:rPr>
              <w:t xml:space="preserve"> procedura di studio;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di sesso femminile, età maggiore di 18 anni </w:t>
            </w:r>
            <w:proofErr w:type="spellStart"/>
            <w:r w:rsidRPr="00311048">
              <w:rPr>
                <w:rFonts w:ascii="Times New Roman" w:hAnsi="Times New Roman" w:cs="Times New Roman"/>
              </w:rPr>
              <w:t>almomento</w:t>
            </w:r>
            <w:proofErr w:type="spellEnd"/>
            <w:r w:rsidRPr="00311048">
              <w:rPr>
                <w:rFonts w:ascii="Times New Roman" w:hAnsi="Times New Roman" w:cs="Times New Roman"/>
              </w:rPr>
              <w:t xml:space="preserve"> della firma del consenso informato;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con diagnosi di tumore ovarico, delle tube di Faloppio o primitivo del peritoneo di </w:t>
            </w:r>
            <w:proofErr w:type="spellStart"/>
            <w:r w:rsidRPr="00311048">
              <w:rPr>
                <w:rFonts w:ascii="Times New Roman" w:hAnsi="Times New Roman" w:cs="Times New Roman"/>
              </w:rPr>
              <w:t>istotipo</w:t>
            </w:r>
            <w:proofErr w:type="spellEnd"/>
            <w:r w:rsidRPr="00311048">
              <w:rPr>
                <w:rFonts w:ascii="Times New Roman" w:hAnsi="Times New Roman" w:cs="Times New Roman"/>
              </w:rPr>
              <w:t xml:space="preserve"> sieroso o </w:t>
            </w:r>
            <w:proofErr w:type="spellStart"/>
            <w:r w:rsidRPr="00311048">
              <w:rPr>
                <w:rFonts w:ascii="Times New Roman" w:hAnsi="Times New Roman" w:cs="Times New Roman"/>
              </w:rPr>
              <w:t>endometrioide</w:t>
            </w:r>
            <w:proofErr w:type="spellEnd"/>
            <w:r w:rsidRPr="00311048">
              <w:rPr>
                <w:rFonts w:ascii="Times New Roman" w:hAnsi="Times New Roman" w:cs="Times New Roman"/>
              </w:rPr>
              <w:t xml:space="preserve"> di alto grado in recidiva o progressione </w:t>
            </w:r>
            <w:proofErr w:type="spellStart"/>
            <w:r w:rsidRPr="00311048">
              <w:rPr>
                <w:rFonts w:ascii="Times New Roman" w:hAnsi="Times New Roman" w:cs="Times New Roman"/>
              </w:rPr>
              <w:t>dopoun</w:t>
            </w:r>
            <w:proofErr w:type="spellEnd"/>
            <w:r w:rsidRPr="00311048">
              <w:rPr>
                <w:rFonts w:ascii="Times New Roman" w:hAnsi="Times New Roman" w:cs="Times New Roman"/>
              </w:rPr>
              <w:t xml:space="preserve"> trattamento di prima linea con </w:t>
            </w:r>
            <w:proofErr w:type="spellStart"/>
            <w:r w:rsidRPr="00311048">
              <w:rPr>
                <w:rFonts w:ascii="Times New Roman" w:hAnsi="Times New Roman" w:cs="Times New Roman"/>
              </w:rPr>
              <w:t>PARPi</w:t>
            </w:r>
            <w:proofErr w:type="spellEnd"/>
            <w:r w:rsidRPr="00311048">
              <w:rPr>
                <w:rFonts w:ascii="Times New Roman" w:hAnsi="Times New Roman" w:cs="Times New Roman"/>
              </w:rPr>
              <w:t xml:space="preserv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devono aver ricevuto solo una precedente linea </w:t>
            </w:r>
            <w:proofErr w:type="spellStart"/>
            <w:r w:rsidRPr="00311048">
              <w:rPr>
                <w:rFonts w:ascii="Times New Roman" w:hAnsi="Times New Roman" w:cs="Times New Roman"/>
              </w:rPr>
              <w:t>diterapia</w:t>
            </w:r>
            <w:proofErr w:type="spellEnd"/>
            <w:r w:rsidRPr="00311048">
              <w:rPr>
                <w:rFonts w:ascii="Times New Roman" w:hAnsi="Times New Roman" w:cs="Times New Roman"/>
              </w:rPr>
              <w:t xml:space="preserve"> a base di platino e senza </w:t>
            </w:r>
            <w:proofErr w:type="spellStart"/>
            <w:r w:rsidRPr="00311048">
              <w:rPr>
                <w:rFonts w:ascii="Times New Roman" w:hAnsi="Times New Roman" w:cs="Times New Roman"/>
              </w:rPr>
              <w:t>bevacizumab</w:t>
            </w:r>
            <w:proofErr w:type="spellEnd"/>
            <w:r w:rsidRPr="00311048">
              <w:rPr>
                <w:rFonts w:ascii="Times New Roman" w:hAnsi="Times New Roman" w:cs="Times New Roman"/>
              </w:rPr>
              <w:t xml:space="preserv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devono aver ricevuto un trattamento di mantenimento di prima linea con </w:t>
            </w:r>
            <w:proofErr w:type="spellStart"/>
            <w:r w:rsidRPr="00311048">
              <w:rPr>
                <w:rFonts w:ascii="Times New Roman" w:hAnsi="Times New Roman" w:cs="Times New Roman"/>
              </w:rPr>
              <w:t>PARPi</w:t>
            </w:r>
            <w:proofErr w:type="spellEnd"/>
            <w:r w:rsidRPr="00311048">
              <w:rPr>
                <w:rFonts w:ascii="Times New Roman" w:hAnsi="Times New Roman" w:cs="Times New Roman"/>
              </w:rPr>
              <w:t xml:space="preserve"> per almeno 6 </w:t>
            </w:r>
            <w:proofErr w:type="spellStart"/>
            <w:proofErr w:type="gramStart"/>
            <w:r w:rsidRPr="00311048">
              <w:rPr>
                <w:rFonts w:ascii="Times New Roman" w:hAnsi="Times New Roman" w:cs="Times New Roman"/>
              </w:rPr>
              <w:t>mesi;se</w:t>
            </w:r>
            <w:proofErr w:type="spellEnd"/>
            <w:proofErr w:type="gramEnd"/>
            <w:r w:rsidRPr="00311048">
              <w:rPr>
                <w:rFonts w:ascii="Times New Roman" w:hAnsi="Times New Roman" w:cs="Times New Roman"/>
              </w:rPr>
              <w:t xml:space="preserve"> il PARP inibitore precedentemente utilizzato è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le pazienti devono aver ricevuto un trattamento senza tossicità significativa o la necessità di una riduzione permanente della dose. Le pazienti che sperimentano una recidiva di malattia al termine dei 24 mesi di trattamento </w:t>
            </w:r>
            <w:proofErr w:type="spellStart"/>
            <w:r w:rsidRPr="00311048">
              <w:rPr>
                <w:rFonts w:ascii="Times New Roman" w:hAnsi="Times New Roman" w:cs="Times New Roman"/>
              </w:rPr>
              <w:t>conPARPi</w:t>
            </w:r>
            <w:proofErr w:type="spellEnd"/>
            <w:r w:rsidRPr="00311048">
              <w:rPr>
                <w:rFonts w:ascii="Times New Roman" w:hAnsi="Times New Roman" w:cs="Times New Roman"/>
              </w:rPr>
              <w:t xml:space="preserve"> sono eleggibili; </w:t>
            </w:r>
          </w:p>
          <w:p w:rsidR="00D975C2"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devono aver ricevuto una chirurgia secondaria. La </w:t>
            </w:r>
            <w:proofErr w:type="spellStart"/>
            <w:r w:rsidRPr="00311048">
              <w:rPr>
                <w:rFonts w:ascii="Times New Roman" w:hAnsi="Times New Roman" w:cs="Times New Roman"/>
              </w:rPr>
              <w:t>citoriduzione</w:t>
            </w:r>
            <w:proofErr w:type="spellEnd"/>
            <w:r w:rsidRPr="00311048">
              <w:rPr>
                <w:rFonts w:ascii="Times New Roman" w:hAnsi="Times New Roman" w:cs="Times New Roman"/>
              </w:rPr>
              <w:t xml:space="preserve"> deve risultare nella completa resezione di malattia (assenza di residuo tumorale macroscopico) o almeno nella resezione della/e lesione/i tumorale che progrediscono durante una terapia di mantenimento con </w:t>
            </w:r>
            <w:proofErr w:type="spellStart"/>
            <w:r w:rsidRPr="00311048">
              <w:rPr>
                <w:rFonts w:ascii="Times New Roman" w:hAnsi="Times New Roman" w:cs="Times New Roman"/>
              </w:rPr>
              <w:t>PARPi</w:t>
            </w:r>
            <w:proofErr w:type="spellEnd"/>
            <w:r w:rsidRPr="00311048">
              <w:rPr>
                <w:rFonts w:ascii="Times New Roman" w:hAnsi="Times New Roman" w:cs="Times New Roman"/>
              </w:rPr>
              <w:t>;</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Status dei geni BRCA 1/2 noto. Sia pazienti con </w:t>
            </w:r>
            <w:proofErr w:type="spellStart"/>
            <w:r w:rsidRPr="00311048">
              <w:rPr>
                <w:rFonts w:ascii="Times New Roman" w:hAnsi="Times New Roman" w:cs="Times New Roman"/>
              </w:rPr>
              <w:t>mutazionedi</w:t>
            </w:r>
            <w:proofErr w:type="spellEnd"/>
            <w:r w:rsidRPr="00311048">
              <w:rPr>
                <w:rFonts w:ascii="Times New Roman" w:hAnsi="Times New Roman" w:cs="Times New Roman"/>
              </w:rPr>
              <w:t xml:space="preserve"> geni BRCA sia pazienti wild-</w:t>
            </w:r>
            <w:proofErr w:type="spellStart"/>
            <w:r w:rsidRPr="00311048">
              <w:rPr>
                <w:rFonts w:ascii="Times New Roman" w:hAnsi="Times New Roman" w:cs="Times New Roman"/>
              </w:rPr>
              <w:t>type</w:t>
            </w:r>
            <w:proofErr w:type="spellEnd"/>
            <w:r w:rsidRPr="00311048">
              <w:rPr>
                <w:rFonts w:ascii="Times New Roman" w:hAnsi="Times New Roman" w:cs="Times New Roman"/>
              </w:rPr>
              <w:t xml:space="preserve"> sono eleggibili. Le pazienti il cui status dei geni BRCA sia ignoto </w:t>
            </w:r>
            <w:proofErr w:type="spellStart"/>
            <w:r w:rsidRPr="00311048">
              <w:rPr>
                <w:rFonts w:ascii="Times New Roman" w:hAnsi="Times New Roman" w:cs="Times New Roman"/>
              </w:rPr>
              <w:t>devonovolersi</w:t>
            </w:r>
            <w:proofErr w:type="spellEnd"/>
            <w:r w:rsidRPr="00311048">
              <w:rPr>
                <w:rFonts w:ascii="Times New Roman" w:hAnsi="Times New Roman" w:cs="Times New Roman"/>
              </w:rPr>
              <w:t xml:space="preserve"> sottoporre all’analisi genetica (somatica e </w:t>
            </w:r>
            <w:proofErr w:type="gramStart"/>
            <w:r w:rsidRPr="00311048">
              <w:rPr>
                <w:rFonts w:ascii="Times New Roman" w:hAnsi="Times New Roman" w:cs="Times New Roman"/>
              </w:rPr>
              <w:t>geminale)e</w:t>
            </w:r>
            <w:proofErr w:type="gramEnd"/>
            <w:r w:rsidRPr="00311048">
              <w:rPr>
                <w:rFonts w:ascii="Times New Roman" w:hAnsi="Times New Roman" w:cs="Times New Roman"/>
              </w:rPr>
              <w:t xml:space="preserve"> il risultato deve essere noto prima della </w:t>
            </w:r>
            <w:proofErr w:type="spellStart"/>
            <w:r w:rsidRPr="00311048">
              <w:rPr>
                <w:rFonts w:ascii="Times New Roman" w:hAnsi="Times New Roman" w:cs="Times New Roman"/>
              </w:rPr>
              <w:t>randomizzazionenello</w:t>
            </w:r>
            <w:proofErr w:type="spellEnd"/>
            <w:r w:rsidRPr="00311048">
              <w:rPr>
                <w:rFonts w:ascii="Times New Roman" w:hAnsi="Times New Roman" w:cs="Times New Roman"/>
              </w:rPr>
              <w:t xml:space="preserve"> studio;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devono avere un’aspettativa di vita maggiore di16 settimane;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lastRenderedPageBreak/>
              <w:sym w:font="Symbol" w:char="F0B7"/>
            </w:r>
            <w:r w:rsidRPr="00311048">
              <w:rPr>
                <w:rFonts w:ascii="Times New Roman" w:hAnsi="Times New Roman" w:cs="Times New Roman"/>
              </w:rPr>
              <w:t xml:space="preserve"> Devono iniziare i trattamenti, previsti dallo studio, entro 3 -8 settimane dalla chirurgia secondaria; </w:t>
            </w:r>
            <w:r w:rsidRPr="00311048">
              <w:rPr>
                <w:rFonts w:ascii="Times New Roman" w:hAnsi="Times New Roman" w:cs="Times New Roman"/>
              </w:rPr>
              <w:sym w:font="Symbol" w:char="F0B7"/>
            </w:r>
            <w:r w:rsidRPr="00311048">
              <w:rPr>
                <w:rFonts w:ascii="Times New Roman" w:hAnsi="Times New Roman" w:cs="Times New Roman"/>
              </w:rPr>
              <w:t xml:space="preserve"> Pazienti devono avere un ECOG performance status di 0 -1;</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devono fornire due campioni tumorali paraffinati </w:t>
            </w:r>
            <w:proofErr w:type="spellStart"/>
            <w:r w:rsidRPr="00311048">
              <w:rPr>
                <w:rFonts w:ascii="Times New Roman" w:hAnsi="Times New Roman" w:cs="Times New Roman"/>
              </w:rPr>
              <w:t>efissati</w:t>
            </w:r>
            <w:proofErr w:type="spellEnd"/>
            <w:r w:rsidRPr="00311048">
              <w:rPr>
                <w:rFonts w:ascii="Times New Roman" w:hAnsi="Times New Roman" w:cs="Times New Roman"/>
              </w:rPr>
              <w:t xml:space="preserve"> in formalina, il primo proveniente dalla chirurgia primaria e il secondo da quella secondaria; Verrà eseguito un controllo centralizzato di qualità sui campioni. Solo le pazienti con campioni idonei/adeguati, se tutti i criteri di inclusione e nessun criterio di esclusione sono soddisfatti, potranno essere randomizzate;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devono essere in grado di assumere terapie orali;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devono avere un’adeguata funzione d’organo e un’adeguata riserva midollare prima di essere arruolate nello studio, definite come: o Emoglobina ≥ 10.0 g/</w:t>
            </w:r>
            <w:proofErr w:type="spellStart"/>
            <w:r w:rsidRPr="00311048">
              <w:rPr>
                <w:rFonts w:ascii="Times New Roman" w:hAnsi="Times New Roman" w:cs="Times New Roman"/>
              </w:rPr>
              <w:t>dL</w:t>
            </w:r>
            <w:proofErr w:type="spellEnd"/>
            <w:r w:rsidRPr="00311048">
              <w:rPr>
                <w:rFonts w:ascii="Times New Roman" w:hAnsi="Times New Roman" w:cs="Times New Roman"/>
              </w:rPr>
              <w:t xml:space="preserve">, senza aver </w:t>
            </w:r>
            <w:proofErr w:type="spellStart"/>
            <w:r w:rsidRPr="00311048">
              <w:rPr>
                <w:rFonts w:ascii="Times New Roman" w:hAnsi="Times New Roman" w:cs="Times New Roman"/>
              </w:rPr>
              <w:t>ricevutotrasfusioni</w:t>
            </w:r>
            <w:proofErr w:type="spellEnd"/>
            <w:r w:rsidRPr="00311048">
              <w:rPr>
                <w:rFonts w:ascii="Times New Roman" w:hAnsi="Times New Roman" w:cs="Times New Roman"/>
              </w:rPr>
              <w:t xml:space="preserve"> nei precedenti 28 giorni; o Conta </w:t>
            </w:r>
            <w:proofErr w:type="spellStart"/>
            <w:r w:rsidRPr="00311048">
              <w:rPr>
                <w:rFonts w:ascii="Times New Roman" w:hAnsi="Times New Roman" w:cs="Times New Roman"/>
              </w:rPr>
              <w:t>neutrofilica</w:t>
            </w:r>
            <w:proofErr w:type="spellEnd"/>
            <w:r w:rsidRPr="00311048">
              <w:rPr>
                <w:rFonts w:ascii="Times New Roman" w:hAnsi="Times New Roman" w:cs="Times New Roman"/>
              </w:rPr>
              <w:t xml:space="preserve"> assoluta (ANC) ≥ 1.5 x 109 /L; o Conta piastrinica ≥ 100 x 109 /L; o Bilirubina totale ≤ 1.5 x LSN( limite superiore </w:t>
            </w:r>
            <w:proofErr w:type="spellStart"/>
            <w:r w:rsidRPr="00311048">
              <w:rPr>
                <w:rFonts w:ascii="Times New Roman" w:hAnsi="Times New Roman" w:cs="Times New Roman"/>
              </w:rPr>
              <w:t>dinormalità</w:t>
            </w:r>
            <w:proofErr w:type="spellEnd"/>
            <w:r w:rsidRPr="00311048">
              <w:rPr>
                <w:rFonts w:ascii="Times New Roman" w:hAnsi="Times New Roman" w:cs="Times New Roman"/>
              </w:rPr>
              <w:t xml:space="preserve">); o </w:t>
            </w:r>
            <w:proofErr w:type="spellStart"/>
            <w:r w:rsidRPr="00311048">
              <w:rPr>
                <w:rFonts w:ascii="Times New Roman" w:hAnsi="Times New Roman" w:cs="Times New Roman"/>
              </w:rPr>
              <w:t>Aspartate</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aminotransferase</w:t>
            </w:r>
            <w:proofErr w:type="spellEnd"/>
            <w:r w:rsidRPr="00311048">
              <w:rPr>
                <w:rFonts w:ascii="Times New Roman" w:hAnsi="Times New Roman" w:cs="Times New Roman"/>
              </w:rPr>
              <w:t xml:space="preserve"> (AST) (</w:t>
            </w:r>
            <w:proofErr w:type="spellStart"/>
            <w:r w:rsidRPr="00311048">
              <w:rPr>
                <w:rFonts w:ascii="Times New Roman" w:hAnsi="Times New Roman" w:cs="Times New Roman"/>
              </w:rPr>
              <w:t>Serum</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GlutamicOxaloacetic</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Transaminase</w:t>
            </w:r>
            <w:proofErr w:type="spellEnd"/>
            <w:r w:rsidRPr="00311048">
              <w:rPr>
                <w:rFonts w:ascii="Times New Roman" w:hAnsi="Times New Roman" w:cs="Times New Roman"/>
              </w:rPr>
              <w:t xml:space="preserve"> (SGOT) e Alanine </w:t>
            </w:r>
            <w:proofErr w:type="spellStart"/>
            <w:r w:rsidRPr="00311048">
              <w:rPr>
                <w:rFonts w:ascii="Times New Roman" w:hAnsi="Times New Roman" w:cs="Times New Roman"/>
              </w:rPr>
              <w:t>aminotransferase</w:t>
            </w:r>
            <w:proofErr w:type="spellEnd"/>
            <w:r w:rsidRPr="00311048">
              <w:rPr>
                <w:rFonts w:ascii="Times New Roman" w:hAnsi="Times New Roman" w:cs="Times New Roman"/>
              </w:rPr>
              <w:t xml:space="preserve"> (ALT) (</w:t>
            </w:r>
            <w:proofErr w:type="spellStart"/>
            <w:r w:rsidRPr="00311048">
              <w:rPr>
                <w:rFonts w:ascii="Times New Roman" w:hAnsi="Times New Roman" w:cs="Times New Roman"/>
              </w:rPr>
              <w:t>Serum</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Glutamic</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Pyruvate</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Transaminase</w:t>
            </w:r>
            <w:proofErr w:type="spellEnd"/>
            <w:r w:rsidRPr="00311048">
              <w:rPr>
                <w:rFonts w:ascii="Times New Roman" w:hAnsi="Times New Roman" w:cs="Times New Roman"/>
              </w:rPr>
              <w:t xml:space="preserve"> (SGPT) ≤ 2.5 x Limite Superiore di Normalità (LNS (se metastasi epatiche, il limite è ≤ 5 x LSN); o Clearance della creatinine stimata di ≥51 </w:t>
            </w:r>
            <w:proofErr w:type="spellStart"/>
            <w:r w:rsidRPr="00311048">
              <w:rPr>
                <w:rFonts w:ascii="Times New Roman" w:hAnsi="Times New Roman" w:cs="Times New Roman"/>
              </w:rPr>
              <w:t>mL</w:t>
            </w:r>
            <w:proofErr w:type="spellEnd"/>
            <w:r w:rsidRPr="00311048">
              <w:rPr>
                <w:rFonts w:ascii="Times New Roman" w:hAnsi="Times New Roman" w:cs="Times New Roman"/>
              </w:rPr>
              <w:t>/</w:t>
            </w:r>
            <w:proofErr w:type="spellStart"/>
            <w:r w:rsidRPr="00311048">
              <w:rPr>
                <w:rFonts w:ascii="Times New Roman" w:hAnsi="Times New Roman" w:cs="Times New Roman"/>
              </w:rPr>
              <w:t>min</w:t>
            </w:r>
            <w:proofErr w:type="spellEnd"/>
            <w:r w:rsidRPr="00311048">
              <w:rPr>
                <w:rFonts w:ascii="Times New Roman" w:hAnsi="Times New Roman" w:cs="Times New Roman"/>
              </w:rPr>
              <w:t xml:space="preserve"> secondo la formula di </w:t>
            </w:r>
            <w:proofErr w:type="spellStart"/>
            <w:r w:rsidRPr="00311048">
              <w:rPr>
                <w:rFonts w:ascii="Times New Roman" w:hAnsi="Times New Roman" w:cs="Times New Roman"/>
              </w:rPr>
              <w:t>Cockcroft</w:t>
            </w:r>
            <w:proofErr w:type="spellEnd"/>
            <w:r w:rsidRPr="00311048">
              <w:rPr>
                <w:rFonts w:ascii="Times New Roman" w:hAnsi="Times New Roman" w:cs="Times New Roman"/>
              </w:rPr>
              <w:t xml:space="preserve">-Gault </w:t>
            </w:r>
            <w:proofErr w:type="spellStart"/>
            <w:r w:rsidRPr="00311048">
              <w:rPr>
                <w:rFonts w:ascii="Times New Roman" w:hAnsi="Times New Roman" w:cs="Times New Roman"/>
              </w:rPr>
              <w:t>equation</w:t>
            </w:r>
            <w:proofErr w:type="spellEnd"/>
            <w:r w:rsidRPr="00311048">
              <w:rPr>
                <w:rFonts w:ascii="Times New Roman" w:hAnsi="Times New Roman" w:cs="Times New Roman"/>
              </w:rPr>
              <w:t xml:space="preserve"> o sulla base del test delle urine nelle 24h (</w:t>
            </w:r>
            <w:proofErr w:type="spellStart"/>
            <w:r w:rsidRPr="00311048">
              <w:rPr>
                <w:rFonts w:ascii="Times New Roman" w:hAnsi="Times New Roman" w:cs="Times New Roman"/>
              </w:rPr>
              <w:t>Estimatedcreatinine</w:t>
            </w:r>
            <w:proofErr w:type="spellEnd"/>
            <w:r w:rsidRPr="00311048">
              <w:rPr>
                <w:rFonts w:ascii="Times New Roman" w:hAnsi="Times New Roman" w:cs="Times New Roman"/>
              </w:rPr>
              <w:t xml:space="preserve"> clearance = (140-age [</w:t>
            </w:r>
            <w:proofErr w:type="spellStart"/>
            <w:r w:rsidRPr="00311048">
              <w:rPr>
                <w:rFonts w:ascii="Times New Roman" w:hAnsi="Times New Roman" w:cs="Times New Roman"/>
              </w:rPr>
              <w:t>years</w:t>
            </w:r>
            <w:proofErr w:type="spellEnd"/>
            <w:r w:rsidRPr="00311048">
              <w:rPr>
                <w:rFonts w:ascii="Times New Roman" w:hAnsi="Times New Roman" w:cs="Times New Roman"/>
              </w:rPr>
              <w:t xml:space="preserve">]) x </w:t>
            </w:r>
            <w:proofErr w:type="spellStart"/>
            <w:r w:rsidRPr="00311048">
              <w:rPr>
                <w:rFonts w:ascii="Times New Roman" w:hAnsi="Times New Roman" w:cs="Times New Roman"/>
              </w:rPr>
              <w:t>weight</w:t>
            </w:r>
            <w:proofErr w:type="spellEnd"/>
            <w:r w:rsidRPr="00311048">
              <w:rPr>
                <w:rFonts w:ascii="Times New Roman" w:hAnsi="Times New Roman" w:cs="Times New Roman"/>
              </w:rPr>
              <w:t xml:space="preserve"> (kg)(x F)a </w:t>
            </w:r>
            <w:proofErr w:type="spellStart"/>
            <w:r w:rsidRPr="00311048">
              <w:rPr>
                <w:rFonts w:ascii="Times New Roman" w:hAnsi="Times New Roman" w:cs="Times New Roman"/>
              </w:rPr>
              <w:t>serum</w:t>
            </w:r>
            <w:proofErr w:type="spellEnd"/>
            <w:r w:rsidRPr="00311048">
              <w:rPr>
                <w:rFonts w:ascii="Times New Roman" w:hAnsi="Times New Roman" w:cs="Times New Roman"/>
              </w:rPr>
              <w:t xml:space="preserve"> creatinine (mg/</w:t>
            </w:r>
            <w:proofErr w:type="spellStart"/>
            <w:r w:rsidRPr="00311048">
              <w:rPr>
                <w:rFonts w:ascii="Times New Roman" w:hAnsi="Times New Roman" w:cs="Times New Roman"/>
              </w:rPr>
              <w:t>dL</w:t>
            </w:r>
            <w:proofErr w:type="spellEnd"/>
            <w:r w:rsidRPr="00311048">
              <w:rPr>
                <w:rFonts w:ascii="Times New Roman" w:hAnsi="Times New Roman" w:cs="Times New Roman"/>
              </w:rPr>
              <w:t xml:space="preserve">) x 72 a </w:t>
            </w:r>
            <w:proofErr w:type="spellStart"/>
            <w:r w:rsidRPr="00311048">
              <w:rPr>
                <w:rFonts w:ascii="Times New Roman" w:hAnsi="Times New Roman" w:cs="Times New Roman"/>
              </w:rPr>
              <w:t>where</w:t>
            </w:r>
            <w:proofErr w:type="spellEnd"/>
            <w:r w:rsidRPr="00311048">
              <w:rPr>
                <w:rFonts w:ascii="Times New Roman" w:hAnsi="Times New Roman" w:cs="Times New Roman"/>
              </w:rPr>
              <w:t xml:space="preserve"> F=0.85 for </w:t>
            </w:r>
            <w:proofErr w:type="spellStart"/>
            <w:r w:rsidRPr="00311048">
              <w:rPr>
                <w:rFonts w:ascii="Times New Roman" w:hAnsi="Times New Roman" w:cs="Times New Roman"/>
              </w:rPr>
              <w:t>females</w:t>
            </w:r>
            <w:proofErr w:type="spellEnd"/>
            <w:r w:rsidRPr="00311048">
              <w:rPr>
                <w:rFonts w:ascii="Times New Roman" w:hAnsi="Times New Roman" w:cs="Times New Roman"/>
              </w:rPr>
              <w:t xml:space="preserv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in stato </w:t>
            </w:r>
            <w:proofErr w:type="spellStart"/>
            <w:r w:rsidRPr="00311048">
              <w:rPr>
                <w:rFonts w:ascii="Times New Roman" w:hAnsi="Times New Roman" w:cs="Times New Roman"/>
              </w:rPr>
              <w:t>menopausale</w:t>
            </w:r>
            <w:proofErr w:type="spellEnd"/>
            <w:r w:rsidRPr="00311048">
              <w:rPr>
                <w:rFonts w:ascii="Times New Roman" w:hAnsi="Times New Roman" w:cs="Times New Roman"/>
              </w:rPr>
              <w:t xml:space="preserve"> o non in stato di </w:t>
            </w:r>
            <w:proofErr w:type="spellStart"/>
            <w:r w:rsidRPr="00311048">
              <w:rPr>
                <w:rFonts w:ascii="Times New Roman" w:hAnsi="Times New Roman" w:cs="Times New Roman"/>
              </w:rPr>
              <w:t>gravidanzanel</w:t>
            </w:r>
            <w:proofErr w:type="spellEnd"/>
            <w:r w:rsidRPr="00311048">
              <w:rPr>
                <w:rFonts w:ascii="Times New Roman" w:hAnsi="Times New Roman" w:cs="Times New Roman"/>
              </w:rPr>
              <w:t xml:space="preserve"> caso di donne potenzialmente fertili con test di gravidanza (urine o sierico) eseguito entro i 28 giorni </w:t>
            </w:r>
            <w:proofErr w:type="spellStart"/>
            <w:r w:rsidRPr="00311048">
              <w:rPr>
                <w:rFonts w:ascii="Times New Roman" w:hAnsi="Times New Roman" w:cs="Times New Roman"/>
              </w:rPr>
              <w:t>dallarandomizzazione</w:t>
            </w:r>
            <w:proofErr w:type="spellEnd"/>
            <w:r w:rsidRPr="00311048">
              <w:rPr>
                <w:rFonts w:ascii="Times New Roman" w:hAnsi="Times New Roman" w:cs="Times New Roman"/>
              </w:rPr>
              <w:t xml:space="preserve"> e confermato prima dell’avvio del </w:t>
            </w:r>
            <w:proofErr w:type="spellStart"/>
            <w:r w:rsidRPr="00311048">
              <w:rPr>
                <w:rFonts w:ascii="Times New Roman" w:hAnsi="Times New Roman" w:cs="Times New Roman"/>
              </w:rPr>
              <w:t>trattamentoal</w:t>
            </w:r>
            <w:proofErr w:type="spellEnd"/>
            <w:r w:rsidRPr="00311048">
              <w:rPr>
                <w:rFonts w:ascii="Times New Roman" w:hAnsi="Times New Roman" w:cs="Times New Roman"/>
              </w:rPr>
              <w:t xml:space="preserve"> giorno 1 Ciclo 1. La </w:t>
            </w:r>
            <w:proofErr w:type="spellStart"/>
            <w:r w:rsidRPr="00311048">
              <w:rPr>
                <w:rFonts w:ascii="Times New Roman" w:hAnsi="Times New Roman" w:cs="Times New Roman"/>
              </w:rPr>
              <w:t>postmenopausa</w:t>
            </w:r>
            <w:proofErr w:type="spellEnd"/>
            <w:r w:rsidRPr="00311048">
              <w:rPr>
                <w:rFonts w:ascii="Times New Roman" w:hAnsi="Times New Roman" w:cs="Times New Roman"/>
              </w:rPr>
              <w:t xml:space="preserve"> è definita come: - Amenorrea da un anno o più dopo l’interruzione </w:t>
            </w:r>
            <w:proofErr w:type="spellStart"/>
            <w:r w:rsidRPr="00311048">
              <w:rPr>
                <w:rFonts w:ascii="Times New Roman" w:hAnsi="Times New Roman" w:cs="Times New Roman"/>
              </w:rPr>
              <w:t>ditrattamenti</w:t>
            </w:r>
            <w:proofErr w:type="spellEnd"/>
            <w:r w:rsidRPr="00311048">
              <w:rPr>
                <w:rFonts w:ascii="Times New Roman" w:hAnsi="Times New Roman" w:cs="Times New Roman"/>
              </w:rPr>
              <w:t xml:space="preserve"> ormonali a base di estrogeni; - Livelli di ormone </w:t>
            </w:r>
            <w:proofErr w:type="spellStart"/>
            <w:r w:rsidRPr="00311048">
              <w:rPr>
                <w:rFonts w:ascii="Times New Roman" w:hAnsi="Times New Roman" w:cs="Times New Roman"/>
              </w:rPr>
              <w:t>luteinizzante</w:t>
            </w:r>
            <w:proofErr w:type="spellEnd"/>
            <w:r w:rsidRPr="00311048">
              <w:rPr>
                <w:rFonts w:ascii="Times New Roman" w:hAnsi="Times New Roman" w:cs="Times New Roman"/>
              </w:rPr>
              <w:t xml:space="preserve"> (LH) e follicolo stimolante (FSH) nell’ intervallo post-</w:t>
            </w:r>
            <w:proofErr w:type="spellStart"/>
            <w:r w:rsidRPr="00311048">
              <w:rPr>
                <w:rFonts w:ascii="Times New Roman" w:hAnsi="Times New Roman" w:cs="Times New Roman"/>
              </w:rPr>
              <w:t>menopausaleper</w:t>
            </w:r>
            <w:proofErr w:type="spellEnd"/>
            <w:r w:rsidRPr="00311048">
              <w:rPr>
                <w:rFonts w:ascii="Times New Roman" w:hAnsi="Times New Roman" w:cs="Times New Roman"/>
              </w:rPr>
              <w:t xml:space="preserve"> le donne sotto i 50 anni; - Cessazione dell’attività ovarica indotta da </w:t>
            </w:r>
            <w:proofErr w:type="spellStart"/>
            <w:r w:rsidRPr="00311048">
              <w:rPr>
                <w:rFonts w:ascii="Times New Roman" w:hAnsi="Times New Roman" w:cs="Times New Roman"/>
              </w:rPr>
              <w:t>radiazioniconultima</w:t>
            </w:r>
            <w:proofErr w:type="spellEnd"/>
            <w:r w:rsidRPr="00311048">
              <w:rPr>
                <w:rFonts w:ascii="Times New Roman" w:hAnsi="Times New Roman" w:cs="Times New Roman"/>
              </w:rPr>
              <w:t xml:space="preserve"> mestruazione &gt; 1 anno fa; - Menopausa indotta da chemioterapia con </w:t>
            </w:r>
            <w:proofErr w:type="spellStart"/>
            <w:r w:rsidRPr="00311048">
              <w:rPr>
                <w:rFonts w:ascii="Times New Roman" w:hAnsi="Times New Roman" w:cs="Times New Roman"/>
              </w:rPr>
              <w:t>unintervallo</w:t>
            </w:r>
            <w:proofErr w:type="spellEnd"/>
            <w:r w:rsidRPr="00311048">
              <w:rPr>
                <w:rFonts w:ascii="Times New Roman" w:hAnsi="Times New Roman" w:cs="Times New Roman"/>
              </w:rPr>
              <w:t xml:space="preserve"> &gt; 1 anno dall’ ultima mestruazione; - </w:t>
            </w:r>
            <w:r w:rsidRPr="00311048">
              <w:rPr>
                <w:rFonts w:ascii="Times New Roman" w:hAnsi="Times New Roman" w:cs="Times New Roman"/>
              </w:rPr>
              <w:lastRenderedPageBreak/>
              <w:t xml:space="preserve">Sterilizzazione chirurgica (ovariectomia bilaterale o </w:t>
            </w:r>
            <w:proofErr w:type="spellStart"/>
            <w:r w:rsidRPr="00311048">
              <w:rPr>
                <w:rFonts w:ascii="Times New Roman" w:hAnsi="Times New Roman" w:cs="Times New Roman"/>
              </w:rPr>
              <w:t>isteroannessectomia</w:t>
            </w:r>
            <w:proofErr w:type="spellEnd"/>
            <w:r w:rsidRPr="00311048">
              <w:rPr>
                <w:rFonts w:ascii="Times New Roman" w:hAnsi="Times New Roman" w:cs="Times New Roman"/>
              </w:rPr>
              <w:t xml:space="preserv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Le donne potenzialmente fertili, che sono sessualmente attive, devono accettare l'uso di una forma di contraccezione altamente efficace ed i loro partner devono usare un preservativo maschile, durante il trattamento (per entrambi i bracci di trattamento) e per almeno 1 mese dopo la somministrazione dell’ultima dose di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Per i farmaci chemioterapici, riferirsi alla sezione fertilità delle corrispondenti RCP;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Volontà e possibilità di ottemperare alle visite </w:t>
            </w:r>
            <w:proofErr w:type="spellStart"/>
            <w:r w:rsidRPr="00311048">
              <w:rPr>
                <w:rFonts w:ascii="Times New Roman" w:hAnsi="Times New Roman" w:cs="Times New Roman"/>
              </w:rPr>
              <w:t>previstedallo</w:t>
            </w:r>
            <w:proofErr w:type="spellEnd"/>
            <w:r w:rsidRPr="00311048">
              <w:rPr>
                <w:rFonts w:ascii="Times New Roman" w:hAnsi="Times New Roman" w:cs="Times New Roman"/>
              </w:rPr>
              <w:t xml:space="preserve"> studio, agli esami di laboratorio e alle varie procedure. Criteri di esclusione: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in condizioni di salute compromesse a causa di patologie sistemiche di natura non oncologica e/o patologie infettive attive, non controllate, o qualunque altra condizione che possa interferire con il trattamento previsto, compromettere la </w:t>
            </w:r>
            <w:proofErr w:type="spellStart"/>
            <w:r w:rsidRPr="00311048">
              <w:rPr>
                <w:rFonts w:ascii="Times New Roman" w:hAnsi="Times New Roman" w:cs="Times New Roman"/>
              </w:rPr>
              <w:t>compliance</w:t>
            </w:r>
            <w:proofErr w:type="spellEnd"/>
            <w:r w:rsidRPr="00311048">
              <w:rPr>
                <w:rFonts w:ascii="Times New Roman" w:hAnsi="Times New Roman" w:cs="Times New Roman"/>
              </w:rPr>
              <w:t xml:space="preserve"> al trattamento o esporre il paziente a rischio (Gli esempi includono, ma non sono limitati a: aritmie ventricolari, infarto del miocardio negli ultimi 3 mesi, scompenso cardiaco congestizio di II classe NYHA (New York </w:t>
            </w:r>
            <w:proofErr w:type="spellStart"/>
            <w:r w:rsidRPr="00311048">
              <w:rPr>
                <w:rFonts w:ascii="Times New Roman" w:hAnsi="Times New Roman" w:cs="Times New Roman"/>
              </w:rPr>
              <w:t>Heart</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Association</w:t>
            </w:r>
            <w:proofErr w:type="spellEnd"/>
            <w:r w:rsidRPr="00311048">
              <w:rPr>
                <w:rFonts w:ascii="Times New Roman" w:hAnsi="Times New Roman" w:cs="Times New Roman"/>
              </w:rPr>
              <w:t xml:space="preserve">) o superiore, ipertensione non controllata, </w:t>
            </w:r>
            <w:proofErr w:type="spellStart"/>
            <w:r w:rsidRPr="00311048">
              <w:rPr>
                <w:rFonts w:ascii="Times New Roman" w:hAnsi="Times New Roman" w:cs="Times New Roman"/>
              </w:rPr>
              <w:t>vasculopatia</w:t>
            </w:r>
            <w:proofErr w:type="spellEnd"/>
            <w:r w:rsidRPr="00311048">
              <w:rPr>
                <w:rFonts w:ascii="Times New Roman" w:hAnsi="Times New Roman" w:cs="Times New Roman"/>
              </w:rPr>
              <w:t xml:space="preserve"> periferica severa, disturbo epilettico maggiore, sindrome della vena cava superiore, malattia interstiziale polmonare bilaterale, </w:t>
            </w:r>
            <w:proofErr w:type="spellStart"/>
            <w:r w:rsidRPr="00311048">
              <w:rPr>
                <w:rFonts w:ascii="Times New Roman" w:hAnsi="Times New Roman" w:cs="Times New Roman"/>
              </w:rPr>
              <w:t>distrurbi</w:t>
            </w:r>
            <w:proofErr w:type="spellEnd"/>
            <w:r w:rsidRPr="00311048">
              <w:rPr>
                <w:rFonts w:ascii="Times New Roman" w:hAnsi="Times New Roman" w:cs="Times New Roman"/>
              </w:rPr>
              <w:t xml:space="preserve"> psichiatrici, compressione midollare);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incapaci ad assumere trattamenti orali o con disturbi della sfera gastro-intestinale che possono </w:t>
            </w:r>
            <w:proofErr w:type="spellStart"/>
            <w:r w:rsidRPr="00311048">
              <w:rPr>
                <w:rFonts w:ascii="Times New Roman" w:hAnsi="Times New Roman" w:cs="Times New Roman"/>
              </w:rPr>
              <w:t>interferirecon</w:t>
            </w:r>
            <w:proofErr w:type="spellEnd"/>
            <w:r w:rsidRPr="00311048">
              <w:rPr>
                <w:rFonts w:ascii="Times New Roman" w:hAnsi="Times New Roman" w:cs="Times New Roman"/>
              </w:rPr>
              <w:t xml:space="preserve"> l’assorbimento di farmaci assunti per via orale;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eleggibili per una doppietta chemioterapica a </w:t>
            </w:r>
            <w:proofErr w:type="spellStart"/>
            <w:r w:rsidRPr="00311048">
              <w:rPr>
                <w:rFonts w:ascii="Times New Roman" w:hAnsi="Times New Roman" w:cs="Times New Roman"/>
              </w:rPr>
              <w:t>basedi</w:t>
            </w:r>
            <w:proofErr w:type="spellEnd"/>
            <w:r w:rsidRPr="00311048">
              <w:rPr>
                <w:rFonts w:ascii="Times New Roman" w:hAnsi="Times New Roman" w:cs="Times New Roman"/>
              </w:rPr>
              <w:t xml:space="preserve"> platino in associazione al </w:t>
            </w:r>
            <w:proofErr w:type="spellStart"/>
            <w:r w:rsidRPr="00311048">
              <w:rPr>
                <w:rFonts w:ascii="Times New Roman" w:hAnsi="Times New Roman" w:cs="Times New Roman"/>
              </w:rPr>
              <w:t>bevacizumab</w:t>
            </w:r>
            <w:proofErr w:type="spellEnd"/>
            <w:r w:rsidRPr="00311048">
              <w:rPr>
                <w:rFonts w:ascii="Times New Roman" w:hAnsi="Times New Roman" w:cs="Times New Roman"/>
              </w:rPr>
              <w:t>;</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che stanno ricevendo trattamenti chemioterapici </w:t>
            </w:r>
            <w:proofErr w:type="spellStart"/>
            <w:r w:rsidRPr="00311048">
              <w:rPr>
                <w:rFonts w:ascii="Times New Roman" w:hAnsi="Times New Roman" w:cs="Times New Roman"/>
              </w:rPr>
              <w:t>oradioterapici</w:t>
            </w:r>
            <w:proofErr w:type="spellEnd"/>
            <w:r w:rsidRPr="00311048">
              <w:rPr>
                <w:rFonts w:ascii="Times New Roman" w:hAnsi="Times New Roman" w:cs="Times New Roman"/>
              </w:rPr>
              <w:t xml:space="preserve"> (eccetto che per scopi palliativi) nelle 3 settimane precedenti la prima dose di farmaco in studio; Pazienti sottoposti ad interventi di chirurgia maggiore nelle 2 settimane precedenti la prima dose di farmaco in studio. I pazienti devono aver recuperato da ogni possibile sequela di interventi chirurgici maggiori (la radioterapia a </w:t>
            </w:r>
            <w:proofErr w:type="spellStart"/>
            <w:r w:rsidRPr="00311048">
              <w:rPr>
                <w:rFonts w:ascii="Times New Roman" w:hAnsi="Times New Roman" w:cs="Times New Roman"/>
              </w:rPr>
              <w:t>scopopalliativo</w:t>
            </w:r>
            <w:proofErr w:type="spellEnd"/>
            <w:r w:rsidRPr="00311048">
              <w:rPr>
                <w:rFonts w:ascii="Times New Roman" w:hAnsi="Times New Roman" w:cs="Times New Roman"/>
              </w:rPr>
              <w:t xml:space="preserve"> deve essere stata completata almeno 7 giorni prima dell'inizio dei farmaci in studio e le pazienti devono aver </w:t>
            </w:r>
            <w:r w:rsidRPr="00311048">
              <w:rPr>
                <w:rFonts w:ascii="Times New Roman" w:hAnsi="Times New Roman" w:cs="Times New Roman"/>
              </w:rPr>
              <w:lastRenderedPageBreak/>
              <w:t xml:space="preserve">recuperato da qualsiasi evento avverso acuto, prima dell'inizio del trattamento in studio);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che abbiano ricevuto un precedente trapianto allogenico di midollo osseo o un doppio trapianto di </w:t>
            </w:r>
            <w:proofErr w:type="spellStart"/>
            <w:r w:rsidRPr="00311048">
              <w:rPr>
                <w:rFonts w:ascii="Times New Roman" w:hAnsi="Times New Roman" w:cs="Times New Roman"/>
              </w:rPr>
              <w:t>sanguedal</w:t>
            </w:r>
            <w:proofErr w:type="spellEnd"/>
            <w:r w:rsidRPr="00311048">
              <w:rPr>
                <w:rFonts w:ascii="Times New Roman" w:hAnsi="Times New Roman" w:cs="Times New Roman"/>
              </w:rPr>
              <w:t xml:space="preserve"> cordone ombelicale;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Donne in allattamento; </w:t>
            </w:r>
          </w:p>
          <w:p w:rsidR="00311048" w:rsidRPr="00311048" w:rsidRDefault="00311048" w:rsidP="00D975C2">
            <w:pPr>
              <w:jc w:val="both"/>
              <w:rPr>
                <w:rFonts w:ascii="Times New Roman" w:hAnsi="Times New Roman" w:cs="Times New Roman"/>
              </w:rPr>
            </w:pP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con metastasi cerebrali non controllate. Una TAC/RMN del cranio è richiesta al basale. La paziente </w:t>
            </w:r>
            <w:proofErr w:type="spellStart"/>
            <w:r w:rsidRPr="00311048">
              <w:rPr>
                <w:rFonts w:ascii="Times New Roman" w:hAnsi="Times New Roman" w:cs="Times New Roman"/>
              </w:rPr>
              <w:t>puòricevere</w:t>
            </w:r>
            <w:proofErr w:type="spellEnd"/>
            <w:r w:rsidRPr="00311048">
              <w:rPr>
                <w:rFonts w:ascii="Times New Roman" w:hAnsi="Times New Roman" w:cs="Times New Roman"/>
              </w:rPr>
              <w:t xml:space="preserve"> una dose stabile di steroide prima o dopo l’arruolamento nello studio a condizione che il trattamento sia iniziato 4 settimane prima del trattamento sperimentale. Pazienti con compressione midollare sono esclusi ad eccezione di coloro che hanno eseguito un trattamento definitivo per questa condizione e siano considerati clinicamente stabili per 28 giorni; </w:t>
            </w:r>
          </w:p>
          <w:p w:rsidR="00311048" w:rsidRPr="00311048" w:rsidRDefault="00311048" w:rsidP="00D975C2">
            <w:pPr>
              <w:jc w:val="both"/>
              <w:rPr>
                <w:rFonts w:ascii="Times New Roman" w:hAnsi="Times New Roman" w:cs="Times New Roman"/>
              </w:rPr>
            </w:pP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Altri tumori maligni eccetto tumori trattati a scopo curativo </w:t>
            </w:r>
            <w:proofErr w:type="spellStart"/>
            <w:r w:rsidRPr="00311048">
              <w:rPr>
                <w:rFonts w:ascii="Times New Roman" w:hAnsi="Times New Roman" w:cs="Times New Roman"/>
              </w:rPr>
              <w:t>esenza</w:t>
            </w:r>
            <w:proofErr w:type="spellEnd"/>
            <w:r w:rsidRPr="00311048">
              <w:rPr>
                <w:rFonts w:ascii="Times New Roman" w:hAnsi="Times New Roman" w:cs="Times New Roman"/>
              </w:rPr>
              <w:t xml:space="preserve"> evidenza di malattia per almeno 5 anni, eccetto per carcinoma cutaneo non melanoma adeguatamente trattato, carcinoma in situ della cervice trattato in maniera curativa, carcinoma duttale in situ (DCIS) della mammella, carcinoma dell’endometrio stadio 1;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Trasfusioni di sangue intero negli ultimi 120 giorni prima dell'ingresso nello studio (sono ammesse trasfusioni di globuli rossi e piastrine), fatta eccezione per le trasfusioni eseguite durante la chirurgia;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Tossicità persistenti legate ai precedenti trattamenti,&gt; grado 2 secondo i Common </w:t>
            </w:r>
            <w:proofErr w:type="spellStart"/>
            <w:r w:rsidRPr="00311048">
              <w:rPr>
                <w:rFonts w:ascii="Times New Roman" w:hAnsi="Times New Roman" w:cs="Times New Roman"/>
              </w:rPr>
              <w:t>Terminology</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Criteria</w:t>
            </w:r>
            <w:proofErr w:type="spellEnd"/>
            <w:r w:rsidRPr="00311048">
              <w:rPr>
                <w:rFonts w:ascii="Times New Roman" w:hAnsi="Times New Roman" w:cs="Times New Roman"/>
              </w:rPr>
              <w:t xml:space="preserve"> for </w:t>
            </w:r>
            <w:proofErr w:type="spellStart"/>
            <w:r w:rsidRPr="00311048">
              <w:rPr>
                <w:rFonts w:ascii="Times New Roman" w:hAnsi="Times New Roman" w:cs="Times New Roman"/>
              </w:rPr>
              <w:t>AdverseEvent</w:t>
            </w:r>
            <w:proofErr w:type="spellEnd"/>
            <w:r w:rsidRPr="00311048">
              <w:rPr>
                <w:rFonts w:ascii="Times New Roman" w:hAnsi="Times New Roman" w:cs="Times New Roman"/>
              </w:rPr>
              <w:t xml:space="preserve"> (CTCAE) </w:t>
            </w:r>
            <w:proofErr w:type="spellStart"/>
            <w:r w:rsidRPr="00311048">
              <w:rPr>
                <w:rFonts w:ascii="Times New Roman" w:hAnsi="Times New Roman" w:cs="Times New Roman"/>
              </w:rPr>
              <w:t>vers</w:t>
            </w:r>
            <w:proofErr w:type="spellEnd"/>
            <w:r w:rsidRPr="00311048">
              <w:rPr>
                <w:rFonts w:ascii="Times New Roman" w:hAnsi="Times New Roman" w:cs="Times New Roman"/>
              </w:rPr>
              <w:t xml:space="preserve">. 5.0, esclusa l’alopecia;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ECG a riposo con evidenza di patologia cardiologica non controllata (esempio: ischemia instabile, aritmia sintomatica non controllata, insufficienza cardiaca congestizia, </w:t>
            </w:r>
            <w:proofErr w:type="spellStart"/>
            <w:r w:rsidRPr="00311048">
              <w:rPr>
                <w:rFonts w:ascii="Times New Roman" w:hAnsi="Times New Roman" w:cs="Times New Roman"/>
              </w:rPr>
              <w:t>QTc</w:t>
            </w:r>
            <w:proofErr w:type="spellEnd"/>
            <w:r w:rsidRPr="00311048">
              <w:rPr>
                <w:rFonts w:ascii="Times New Roman" w:hAnsi="Times New Roman" w:cs="Times New Roman"/>
              </w:rPr>
              <w:t xml:space="preserve">&gt; 470 </w:t>
            </w:r>
            <w:proofErr w:type="spellStart"/>
            <w:r w:rsidRPr="00311048">
              <w:rPr>
                <w:rFonts w:ascii="Times New Roman" w:hAnsi="Times New Roman" w:cs="Times New Roman"/>
              </w:rPr>
              <w:t>msec</w:t>
            </w:r>
            <w:proofErr w:type="spellEnd"/>
            <w:r w:rsidRPr="00311048">
              <w:rPr>
                <w:rFonts w:ascii="Times New Roman" w:hAnsi="Times New Roman" w:cs="Times New Roman"/>
              </w:rPr>
              <w:t xml:space="preserve"> o disturbi elettrolitici) o storia di sindrome del </w:t>
            </w:r>
            <w:proofErr w:type="spellStart"/>
            <w:r w:rsidRPr="00311048">
              <w:rPr>
                <w:rFonts w:ascii="Times New Roman" w:hAnsi="Times New Roman" w:cs="Times New Roman"/>
              </w:rPr>
              <w:t>QTlungo</w:t>
            </w:r>
            <w:proofErr w:type="spellEnd"/>
            <w:r w:rsidRPr="00311048">
              <w:rPr>
                <w:rFonts w:ascii="Times New Roman" w:hAnsi="Times New Roman" w:cs="Times New Roman"/>
              </w:rPr>
              <w:t xml:space="preserv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Uso concomitante di noti inibitori potenti del CYP3A (es. </w:t>
            </w:r>
            <w:proofErr w:type="spellStart"/>
            <w:r w:rsidRPr="00311048">
              <w:rPr>
                <w:rFonts w:ascii="Times New Roman" w:hAnsi="Times New Roman" w:cs="Times New Roman"/>
              </w:rPr>
              <w:t>Itraconazolo</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telitromicina</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claritromicina</w:t>
            </w:r>
            <w:proofErr w:type="spellEnd"/>
            <w:r w:rsidRPr="00311048">
              <w:rPr>
                <w:rFonts w:ascii="Times New Roman" w:hAnsi="Times New Roman" w:cs="Times New Roman"/>
              </w:rPr>
              <w:t xml:space="preserve">, inibitori della proteasi potenziati con </w:t>
            </w:r>
            <w:proofErr w:type="spellStart"/>
            <w:r w:rsidRPr="00311048">
              <w:rPr>
                <w:rFonts w:ascii="Times New Roman" w:hAnsi="Times New Roman" w:cs="Times New Roman"/>
              </w:rPr>
              <w:t>ritonavir</w:t>
            </w:r>
            <w:proofErr w:type="spellEnd"/>
            <w:r w:rsidRPr="00311048">
              <w:rPr>
                <w:rFonts w:ascii="Times New Roman" w:hAnsi="Times New Roman" w:cs="Times New Roman"/>
              </w:rPr>
              <w:t xml:space="preserve"> o</w:t>
            </w:r>
          </w:p>
          <w:p w:rsidR="00311048" w:rsidRPr="00311048" w:rsidRDefault="00311048" w:rsidP="00D975C2">
            <w:pPr>
              <w:jc w:val="both"/>
              <w:rPr>
                <w:rFonts w:ascii="Times New Roman" w:hAnsi="Times New Roman" w:cs="Times New Roman"/>
              </w:rPr>
            </w:pPr>
            <w:proofErr w:type="spellStart"/>
            <w:r w:rsidRPr="00311048">
              <w:rPr>
                <w:rFonts w:ascii="Times New Roman" w:hAnsi="Times New Roman" w:cs="Times New Roman"/>
              </w:rPr>
              <w:lastRenderedPageBreak/>
              <w:t>cobicistat</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indinavir</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saquinavir</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nelfinavir</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boceprevir</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telaprevir</w:t>
            </w:r>
            <w:proofErr w:type="spellEnd"/>
            <w:r w:rsidRPr="00311048">
              <w:rPr>
                <w:rFonts w:ascii="Times New Roman" w:hAnsi="Times New Roman" w:cs="Times New Roman"/>
              </w:rPr>
              <w:t xml:space="preserve">) o inibitori moderati del CYP3A (ad es. </w:t>
            </w:r>
            <w:proofErr w:type="spellStart"/>
            <w:r w:rsidRPr="00311048">
              <w:rPr>
                <w:rFonts w:ascii="Times New Roman" w:hAnsi="Times New Roman" w:cs="Times New Roman"/>
              </w:rPr>
              <w:t>Ciprofloxacina</w:t>
            </w:r>
            <w:proofErr w:type="spellEnd"/>
            <w:r w:rsidRPr="00311048">
              <w:rPr>
                <w:rFonts w:ascii="Times New Roman" w:hAnsi="Times New Roman" w:cs="Times New Roman"/>
              </w:rPr>
              <w:t xml:space="preserve">, eritromicina, </w:t>
            </w:r>
            <w:proofErr w:type="spellStart"/>
            <w:r w:rsidRPr="00311048">
              <w:rPr>
                <w:rFonts w:ascii="Times New Roman" w:hAnsi="Times New Roman" w:cs="Times New Roman"/>
              </w:rPr>
              <w:t>diltiazem</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fluconazolo</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verapamil</w:t>
            </w:r>
            <w:proofErr w:type="spellEnd"/>
            <w:r w:rsidRPr="00311048">
              <w:rPr>
                <w:rFonts w:ascii="Times New Roman" w:hAnsi="Times New Roman" w:cs="Times New Roman"/>
              </w:rPr>
              <w:t xml:space="preserve">). Il periodo di </w:t>
            </w:r>
            <w:proofErr w:type="spellStart"/>
            <w:r w:rsidRPr="00311048">
              <w:rPr>
                <w:rFonts w:ascii="Times New Roman" w:hAnsi="Times New Roman" w:cs="Times New Roman"/>
              </w:rPr>
              <w:t>washout</w:t>
            </w:r>
            <w:proofErr w:type="spellEnd"/>
            <w:r w:rsidRPr="00311048">
              <w:rPr>
                <w:rFonts w:ascii="Times New Roman" w:hAnsi="Times New Roman" w:cs="Times New Roman"/>
              </w:rPr>
              <w:t xml:space="preserve"> richiesto prima di iniziare l'</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è di 2 settimane;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Uso concomitante di farmaci noti per essere forti (ad esempio </w:t>
            </w:r>
            <w:proofErr w:type="spellStart"/>
            <w:r w:rsidRPr="00311048">
              <w:rPr>
                <w:rFonts w:ascii="Times New Roman" w:hAnsi="Times New Roman" w:cs="Times New Roman"/>
              </w:rPr>
              <w:t>fenobarbital</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enzalutamide</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fenitoina</w:t>
            </w:r>
            <w:proofErr w:type="spellEnd"/>
            <w:r w:rsidRPr="00311048">
              <w:rPr>
                <w:rFonts w:ascii="Times New Roman" w:hAnsi="Times New Roman" w:cs="Times New Roman"/>
              </w:rPr>
              <w:t xml:space="preserve">, rifampicina, </w:t>
            </w:r>
            <w:proofErr w:type="spellStart"/>
            <w:r w:rsidRPr="00311048">
              <w:rPr>
                <w:rFonts w:ascii="Times New Roman" w:hAnsi="Times New Roman" w:cs="Times New Roman"/>
              </w:rPr>
              <w:t>rifabutina</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rifapentina</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carbamazepina</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nevirapina</w:t>
            </w:r>
            <w:proofErr w:type="spellEnd"/>
            <w:r w:rsidRPr="00311048">
              <w:rPr>
                <w:rFonts w:ascii="Times New Roman" w:hAnsi="Times New Roman" w:cs="Times New Roman"/>
              </w:rPr>
              <w:t xml:space="preserve"> e erba </w:t>
            </w:r>
            <w:proofErr w:type="spellStart"/>
            <w:r w:rsidRPr="00311048">
              <w:rPr>
                <w:rFonts w:ascii="Times New Roman" w:hAnsi="Times New Roman" w:cs="Times New Roman"/>
              </w:rPr>
              <w:t>diSan</w:t>
            </w:r>
            <w:proofErr w:type="spellEnd"/>
            <w:r w:rsidRPr="00311048">
              <w:rPr>
                <w:rFonts w:ascii="Times New Roman" w:hAnsi="Times New Roman" w:cs="Times New Roman"/>
              </w:rPr>
              <w:t xml:space="preserve"> Giovanni) o moderati induttori di CYP3A (ad esempio </w:t>
            </w:r>
            <w:proofErr w:type="spellStart"/>
            <w:r w:rsidRPr="00311048">
              <w:rPr>
                <w:rFonts w:ascii="Times New Roman" w:hAnsi="Times New Roman" w:cs="Times New Roman"/>
              </w:rPr>
              <w:t>bosentan</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efavirenz</w:t>
            </w:r>
            <w:proofErr w:type="spellEnd"/>
            <w:r w:rsidRPr="00311048">
              <w:rPr>
                <w:rFonts w:ascii="Times New Roman" w:hAnsi="Times New Roman" w:cs="Times New Roman"/>
              </w:rPr>
              <w:t xml:space="preserve">, </w:t>
            </w:r>
            <w:proofErr w:type="spellStart"/>
            <w:r w:rsidRPr="00311048">
              <w:rPr>
                <w:rFonts w:ascii="Times New Roman" w:hAnsi="Times New Roman" w:cs="Times New Roman"/>
              </w:rPr>
              <w:t>modafinil</w:t>
            </w:r>
            <w:proofErr w:type="spellEnd"/>
            <w:r w:rsidRPr="00311048">
              <w:rPr>
                <w:rFonts w:ascii="Times New Roman" w:hAnsi="Times New Roman" w:cs="Times New Roman"/>
              </w:rPr>
              <w:t xml:space="preserve">). Il periodo di </w:t>
            </w:r>
            <w:proofErr w:type="spellStart"/>
            <w:r w:rsidRPr="00311048">
              <w:rPr>
                <w:rFonts w:ascii="Times New Roman" w:hAnsi="Times New Roman" w:cs="Times New Roman"/>
              </w:rPr>
              <w:t>washout</w:t>
            </w:r>
            <w:proofErr w:type="spellEnd"/>
            <w:r w:rsidRPr="00311048">
              <w:rPr>
                <w:rFonts w:ascii="Times New Roman" w:hAnsi="Times New Roman" w:cs="Times New Roman"/>
              </w:rPr>
              <w:t xml:space="preserve"> richiesto prima di iniziare l'</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è di 5 settimane per l'</w:t>
            </w:r>
            <w:proofErr w:type="spellStart"/>
            <w:r w:rsidRPr="00311048">
              <w:rPr>
                <w:rFonts w:ascii="Times New Roman" w:hAnsi="Times New Roman" w:cs="Times New Roman"/>
              </w:rPr>
              <w:t>enzalutamide</w:t>
            </w:r>
            <w:proofErr w:type="spellEnd"/>
            <w:r w:rsidRPr="00311048">
              <w:rPr>
                <w:rFonts w:ascii="Times New Roman" w:hAnsi="Times New Roman" w:cs="Times New Roman"/>
              </w:rPr>
              <w:t xml:space="preserve"> o il </w:t>
            </w:r>
            <w:proofErr w:type="spellStart"/>
            <w:r w:rsidRPr="00311048">
              <w:rPr>
                <w:rFonts w:ascii="Times New Roman" w:hAnsi="Times New Roman" w:cs="Times New Roman"/>
              </w:rPr>
              <w:t>fenobarbital</w:t>
            </w:r>
            <w:proofErr w:type="spellEnd"/>
            <w:r w:rsidRPr="00311048">
              <w:rPr>
                <w:rFonts w:ascii="Times New Roman" w:hAnsi="Times New Roman" w:cs="Times New Roman"/>
              </w:rPr>
              <w:t xml:space="preserve"> e di 3 settimane per gli altri agenti;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con sindromi </w:t>
            </w:r>
            <w:proofErr w:type="spellStart"/>
            <w:r w:rsidRPr="00311048">
              <w:rPr>
                <w:rFonts w:ascii="Times New Roman" w:hAnsi="Times New Roman" w:cs="Times New Roman"/>
              </w:rPr>
              <w:t>mielodisplastiche</w:t>
            </w:r>
            <w:proofErr w:type="spellEnd"/>
            <w:r w:rsidRPr="00311048">
              <w:rPr>
                <w:rFonts w:ascii="Times New Roman" w:hAnsi="Times New Roman" w:cs="Times New Roman"/>
              </w:rPr>
              <w:t xml:space="preserve">/ leucemia mieloide acuta o con caratteristiche suggestive di MDS/AML;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w:t>
            </w:r>
            <w:proofErr w:type="spellStart"/>
            <w:r w:rsidRPr="00311048">
              <w:rPr>
                <w:rFonts w:ascii="Times New Roman" w:hAnsi="Times New Roman" w:cs="Times New Roman"/>
              </w:rPr>
              <w:t>immunocompromessi</w:t>
            </w:r>
            <w:proofErr w:type="spellEnd"/>
            <w:r w:rsidRPr="00311048">
              <w:rPr>
                <w:rFonts w:ascii="Times New Roman" w:hAnsi="Times New Roman" w:cs="Times New Roman"/>
              </w:rPr>
              <w:t xml:space="preserve">, ad es. pazienti che sono note per essere </w:t>
            </w:r>
            <w:proofErr w:type="spellStart"/>
            <w:r w:rsidRPr="00311048">
              <w:rPr>
                <w:rFonts w:ascii="Times New Roman" w:hAnsi="Times New Roman" w:cs="Times New Roman"/>
              </w:rPr>
              <w:t>sierologicamente</w:t>
            </w:r>
            <w:proofErr w:type="spellEnd"/>
            <w:r w:rsidRPr="00311048">
              <w:rPr>
                <w:rFonts w:ascii="Times New Roman" w:hAnsi="Times New Roman" w:cs="Times New Roman"/>
              </w:rPr>
              <w:t xml:space="preserve"> positive (positività per gli anticorpi HIV 1/2) per il virus dell'immunodeficienza umana(HIV);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con nota ipersensibilità a </w:t>
            </w:r>
            <w:proofErr w:type="spellStart"/>
            <w:r w:rsidRPr="00311048">
              <w:rPr>
                <w:rFonts w:ascii="Times New Roman" w:hAnsi="Times New Roman" w:cs="Times New Roman"/>
              </w:rPr>
              <w:t>olaparib</w:t>
            </w:r>
            <w:proofErr w:type="spellEnd"/>
            <w:r w:rsidRPr="00311048">
              <w:rPr>
                <w:rFonts w:ascii="Times New Roman" w:hAnsi="Times New Roman" w:cs="Times New Roman"/>
              </w:rPr>
              <w:t xml:space="preserve"> o ad uno qualsiasi degli eccipienti del prodotto;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che, al giudizio dell’Investigatore e in accordo con le linee guida ESMO (</w:t>
            </w:r>
            <w:proofErr w:type="spellStart"/>
            <w:r w:rsidRPr="00311048">
              <w:rPr>
                <w:rFonts w:ascii="Times New Roman" w:hAnsi="Times New Roman" w:cs="Times New Roman"/>
              </w:rPr>
              <w:t>European</w:t>
            </w:r>
            <w:proofErr w:type="spellEnd"/>
            <w:r w:rsidRPr="00311048">
              <w:rPr>
                <w:rFonts w:ascii="Times New Roman" w:hAnsi="Times New Roman" w:cs="Times New Roman"/>
              </w:rPr>
              <w:t xml:space="preserve"> Society </w:t>
            </w:r>
            <w:proofErr w:type="spellStart"/>
            <w:r w:rsidRPr="00311048">
              <w:rPr>
                <w:rFonts w:ascii="Times New Roman" w:hAnsi="Times New Roman" w:cs="Times New Roman"/>
              </w:rPr>
              <w:t>Medical</w:t>
            </w:r>
            <w:proofErr w:type="spellEnd"/>
            <w:r w:rsidRPr="00311048">
              <w:rPr>
                <w:rFonts w:ascii="Times New Roman" w:hAnsi="Times New Roman" w:cs="Times New Roman"/>
              </w:rPr>
              <w:t xml:space="preserve"> for </w:t>
            </w:r>
            <w:proofErr w:type="spellStart"/>
            <w:r w:rsidRPr="00311048">
              <w:rPr>
                <w:rFonts w:ascii="Times New Roman" w:hAnsi="Times New Roman" w:cs="Times New Roman"/>
              </w:rPr>
              <w:t>Oncology</w:t>
            </w:r>
            <w:proofErr w:type="spellEnd"/>
            <w:r w:rsidRPr="00311048">
              <w:rPr>
                <w:rFonts w:ascii="Times New Roman" w:hAnsi="Times New Roman" w:cs="Times New Roman"/>
              </w:rPr>
              <w:t xml:space="preserve">), non sono eleggibili per un nuovo trattamento a base di platino (es. pazienti che hanno sperimentato una reazione avversa maggiore ad un trattamento al platino durante la terapia di prima linea)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Pazienti con nota epatite attiva (epatite B o C): o Epatite virale B attiva (HBV) è definite da una positività per antigene di superficie (</w:t>
            </w:r>
            <w:proofErr w:type="spellStart"/>
            <w:r w:rsidRPr="00311048">
              <w:rPr>
                <w:rFonts w:ascii="Times New Roman" w:hAnsi="Times New Roman" w:cs="Times New Roman"/>
              </w:rPr>
              <w:t>HBsAg</w:t>
            </w:r>
            <w:proofErr w:type="spellEnd"/>
            <w:r w:rsidRPr="00311048">
              <w:rPr>
                <w:rFonts w:ascii="Times New Roman" w:hAnsi="Times New Roman" w:cs="Times New Roman"/>
              </w:rPr>
              <w:t>) di HBV. Pazienti con una passata o risolta infezione da HBV sono eleggibili; sono definiti tali dalla presenza di anticorpi anti-core (</w:t>
            </w:r>
            <w:proofErr w:type="spellStart"/>
            <w:r w:rsidRPr="00311048">
              <w:rPr>
                <w:rFonts w:ascii="Times New Roman" w:hAnsi="Times New Roman" w:cs="Times New Roman"/>
              </w:rPr>
              <w:t>HBcAB</w:t>
            </w:r>
            <w:proofErr w:type="spellEnd"/>
            <w:r w:rsidRPr="00311048">
              <w:rPr>
                <w:rFonts w:ascii="Times New Roman" w:hAnsi="Times New Roman" w:cs="Times New Roman"/>
              </w:rPr>
              <w:t xml:space="preserve">) e dall’assenza di </w:t>
            </w:r>
            <w:proofErr w:type="spellStart"/>
            <w:r w:rsidRPr="00311048">
              <w:rPr>
                <w:rFonts w:ascii="Times New Roman" w:hAnsi="Times New Roman" w:cs="Times New Roman"/>
              </w:rPr>
              <w:t>HBsAg</w:t>
            </w:r>
            <w:proofErr w:type="spellEnd"/>
            <w:r w:rsidRPr="00311048">
              <w:rPr>
                <w:rFonts w:ascii="Times New Roman" w:hAnsi="Times New Roman" w:cs="Times New Roman"/>
              </w:rPr>
              <w:t xml:space="preserve">. o Pazienti positive per la presenza di anticorpi contro il virus dell’epatite C (HCV) sono eleggibili solo se l’esame PCR è negativo per HCV RNA. </w:t>
            </w:r>
          </w:p>
          <w:p w:rsidR="00311048" w:rsidRPr="00311048" w:rsidRDefault="00311048" w:rsidP="00D975C2">
            <w:pPr>
              <w:jc w:val="both"/>
              <w:rPr>
                <w:rFonts w:ascii="Times New Roman" w:hAnsi="Times New Roman" w:cs="Times New Roman"/>
              </w:rPr>
            </w:pPr>
            <w:r w:rsidRPr="00311048">
              <w:rPr>
                <w:rFonts w:ascii="Times New Roman" w:hAnsi="Times New Roman" w:cs="Times New Roman"/>
              </w:rPr>
              <w:sym w:font="Symbol" w:char="F0B7"/>
            </w:r>
            <w:r w:rsidRPr="00311048">
              <w:rPr>
                <w:rFonts w:ascii="Times New Roman" w:hAnsi="Times New Roman" w:cs="Times New Roman"/>
              </w:rPr>
              <w:t xml:space="preserve"> Partecipazione in altro studio clinico con farmaco sperimentale negli ultimi 3 mesi.</w:t>
            </w:r>
          </w:p>
        </w:tc>
      </w:tr>
    </w:tbl>
    <w:p w:rsidR="00CA3BA2" w:rsidRDefault="00CA3BA2" w:rsidP="005C7179">
      <w:pPr>
        <w:jc w:val="both"/>
      </w:pPr>
    </w:p>
    <w:sectPr w:rsidR="00CA3BA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7A288A"/>
    <w:multiLevelType w:val="hybridMultilevel"/>
    <w:tmpl w:val="E7E83A3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45649C7"/>
    <w:multiLevelType w:val="hybridMultilevel"/>
    <w:tmpl w:val="360827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BA2"/>
    <w:rsid w:val="000F678E"/>
    <w:rsid w:val="001D685B"/>
    <w:rsid w:val="00311048"/>
    <w:rsid w:val="005C7179"/>
    <w:rsid w:val="00650F49"/>
    <w:rsid w:val="00750AFA"/>
    <w:rsid w:val="00886BF2"/>
    <w:rsid w:val="00BD1F2A"/>
    <w:rsid w:val="00CA3BA2"/>
    <w:rsid w:val="00D975C2"/>
    <w:rsid w:val="00F1730B"/>
    <w:rsid w:val="00F416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03CF8"/>
  <w15:chartTrackingRefBased/>
  <w15:docId w15:val="{30CF48B6-8BB8-4312-9076-FE4127FB6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CA3BA2"/>
    <w:pPr>
      <w:autoSpaceDE w:val="0"/>
      <w:autoSpaceDN w:val="0"/>
      <w:adjustRightInd w:val="0"/>
      <w:spacing w:after="0" w:line="240" w:lineRule="auto"/>
    </w:pPr>
    <w:rPr>
      <w:rFonts w:ascii="Times New Roman" w:hAnsi="Times New Roman" w:cs="Times New Roman"/>
      <w:color w:val="000000"/>
      <w:sz w:val="24"/>
      <w:szCs w:val="24"/>
    </w:rPr>
  </w:style>
  <w:style w:type="paragraph" w:styleId="Testofumetto">
    <w:name w:val="Balloon Text"/>
    <w:basedOn w:val="Normale"/>
    <w:link w:val="TestofumettoCarattere"/>
    <w:uiPriority w:val="99"/>
    <w:semiHidden/>
    <w:unhideWhenUsed/>
    <w:rsid w:val="000F678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0F678E"/>
    <w:rPr>
      <w:rFonts w:ascii="Segoe UI" w:hAnsi="Segoe UI" w:cs="Segoe UI"/>
      <w:sz w:val="18"/>
      <w:szCs w:val="18"/>
    </w:rPr>
  </w:style>
  <w:style w:type="paragraph" w:styleId="Paragrafoelenco">
    <w:name w:val="List Paragraph"/>
    <w:basedOn w:val="Normale"/>
    <w:uiPriority w:val="34"/>
    <w:qFormat/>
    <w:rsid w:val="001D68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2374</Words>
  <Characters>13533</Characters>
  <Application>Microsoft Office Word</Application>
  <DocSecurity>0</DocSecurity>
  <Lines>112</Lines>
  <Paragraphs>31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15876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maria di giacomo</dc:creator>
  <cp:keywords/>
  <dc:description/>
  <cp:lastModifiedBy>Giovanna Mollo</cp:lastModifiedBy>
  <cp:revision>2</cp:revision>
  <cp:lastPrinted>2023-02-14T13:30:00Z</cp:lastPrinted>
  <dcterms:created xsi:type="dcterms:W3CDTF">2023-02-17T10:25:00Z</dcterms:created>
  <dcterms:modified xsi:type="dcterms:W3CDTF">2023-02-17T10:25:00Z</dcterms:modified>
</cp:coreProperties>
</file>