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C81A" w14:textId="77777777" w:rsidR="00CA3BA2" w:rsidRPr="00CA3BA2" w:rsidRDefault="00CA3BA2" w:rsidP="00CA3BA2"/>
    <w:tbl>
      <w:tblPr>
        <w:tblW w:w="975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7030"/>
      </w:tblGrid>
      <w:tr w:rsidR="00CA3BA2" w:rsidRPr="00294C64" w14:paraId="3BB5E624" w14:textId="77777777" w:rsidTr="0065093D">
        <w:trPr>
          <w:trHeight w:val="227"/>
        </w:trPr>
        <w:tc>
          <w:tcPr>
            <w:tcW w:w="2721" w:type="dxa"/>
          </w:tcPr>
          <w:p w14:paraId="40E06077" w14:textId="489FC96E" w:rsidR="00CA3BA2" w:rsidRPr="00294C64" w:rsidRDefault="00CA3BA2" w:rsidP="0065093D">
            <w:pPr>
              <w:spacing w:after="0" w:line="240" w:lineRule="auto"/>
              <w:rPr>
                <w:rFonts w:cstheme="minorHAnsi"/>
              </w:rPr>
            </w:pPr>
            <w:r w:rsidRPr="00294C64">
              <w:rPr>
                <w:rFonts w:cstheme="minorHAnsi"/>
              </w:rPr>
              <w:t xml:space="preserve"> </w:t>
            </w:r>
            <w:r w:rsidR="0065093D">
              <w:rPr>
                <w:rFonts w:cstheme="minorHAnsi"/>
                <w:b/>
                <w:bCs/>
              </w:rPr>
              <w:t>Titolo dello studio</w:t>
            </w:r>
          </w:p>
        </w:tc>
        <w:tc>
          <w:tcPr>
            <w:tcW w:w="7030" w:type="dxa"/>
          </w:tcPr>
          <w:p w14:paraId="7AE198F5" w14:textId="7865BEA5" w:rsidR="00CA3BA2" w:rsidRPr="0065093D" w:rsidRDefault="001A5AD1" w:rsidP="0065093D">
            <w:pPr>
              <w:spacing w:after="0" w:line="240" w:lineRule="auto"/>
              <w:rPr>
                <w:rFonts w:cstheme="minorHAnsi"/>
              </w:rPr>
            </w:pPr>
            <w:r w:rsidRPr="0065093D">
              <w:rPr>
                <w:rFonts w:cstheme="minorHAnsi"/>
              </w:rPr>
              <w:t>A PHASE IV TRIAL TO CONFIRM THE EFFICACY OF OLAPARIB IN COMBINATION WITH BEVACIZUMAB AS MAINTENANCE FRONTLINE TREATMENT OF HRD POSITIVE OVARIAN TUMOURS (IOLANTHE)</w:t>
            </w:r>
          </w:p>
        </w:tc>
      </w:tr>
      <w:tr w:rsidR="00CA3BA2" w:rsidRPr="00294C64" w14:paraId="15C63AE3" w14:textId="77777777" w:rsidTr="0065093D">
        <w:trPr>
          <w:trHeight w:val="227"/>
        </w:trPr>
        <w:tc>
          <w:tcPr>
            <w:tcW w:w="2721" w:type="dxa"/>
          </w:tcPr>
          <w:p w14:paraId="4C4AC5B9" w14:textId="45ACA0BA" w:rsidR="00CA3BA2" w:rsidRPr="00294C64" w:rsidRDefault="0065093D" w:rsidP="0065093D">
            <w:pPr>
              <w:spacing w:after="0" w:line="240" w:lineRule="auto"/>
              <w:rPr>
                <w:rFonts w:cstheme="minorHAnsi"/>
              </w:rPr>
            </w:pPr>
            <w:r>
              <w:rPr>
                <w:rFonts w:cstheme="minorHAnsi"/>
                <w:b/>
                <w:bCs/>
              </w:rPr>
              <w:t>Versione e data del protocollo</w:t>
            </w:r>
          </w:p>
        </w:tc>
        <w:tc>
          <w:tcPr>
            <w:tcW w:w="7030" w:type="dxa"/>
          </w:tcPr>
          <w:p w14:paraId="6B903175" w14:textId="624F0036" w:rsidR="00CA3BA2" w:rsidRPr="0065093D" w:rsidRDefault="001A5AD1" w:rsidP="0065093D">
            <w:pPr>
              <w:spacing w:after="0" w:line="240" w:lineRule="auto"/>
              <w:rPr>
                <w:rFonts w:cstheme="minorHAnsi"/>
              </w:rPr>
            </w:pPr>
            <w:r w:rsidRPr="0065093D">
              <w:rPr>
                <w:rFonts w:cstheme="minorHAnsi"/>
              </w:rPr>
              <w:t>Versione 2.0 del 6 Marzo 2023</w:t>
            </w:r>
          </w:p>
        </w:tc>
      </w:tr>
      <w:tr w:rsidR="00CA3BA2" w:rsidRPr="00294C64" w14:paraId="27BF9170" w14:textId="77777777" w:rsidTr="0065093D">
        <w:trPr>
          <w:trHeight w:val="227"/>
        </w:trPr>
        <w:tc>
          <w:tcPr>
            <w:tcW w:w="2721" w:type="dxa"/>
          </w:tcPr>
          <w:p w14:paraId="70CDC0CC" w14:textId="0C439498" w:rsidR="00CA3BA2" w:rsidRPr="00294C64" w:rsidRDefault="0065093D" w:rsidP="0065093D">
            <w:pPr>
              <w:spacing w:after="0" w:line="240" w:lineRule="auto"/>
              <w:rPr>
                <w:rFonts w:cstheme="minorHAnsi"/>
              </w:rPr>
            </w:pPr>
            <w:r>
              <w:rPr>
                <w:rFonts w:cstheme="minorHAnsi"/>
                <w:b/>
                <w:bCs/>
              </w:rPr>
              <w:t>Pazienti in studio</w:t>
            </w:r>
          </w:p>
        </w:tc>
        <w:tc>
          <w:tcPr>
            <w:tcW w:w="7030" w:type="dxa"/>
          </w:tcPr>
          <w:p w14:paraId="206A4401" w14:textId="3153E764" w:rsidR="00CA3BA2" w:rsidRPr="0065093D" w:rsidRDefault="001A5AD1" w:rsidP="0065093D">
            <w:pPr>
              <w:spacing w:after="0" w:line="240" w:lineRule="auto"/>
              <w:rPr>
                <w:rFonts w:cstheme="minorHAnsi"/>
              </w:rPr>
            </w:pPr>
            <w:r w:rsidRPr="0065093D">
              <w:rPr>
                <w:rFonts w:cstheme="minorHAnsi"/>
              </w:rPr>
              <w:t>90</w:t>
            </w:r>
          </w:p>
        </w:tc>
      </w:tr>
      <w:tr w:rsidR="00CA3BA2" w:rsidRPr="00294C64" w14:paraId="5E3F029B" w14:textId="77777777" w:rsidTr="0065093D">
        <w:trPr>
          <w:trHeight w:val="227"/>
        </w:trPr>
        <w:tc>
          <w:tcPr>
            <w:tcW w:w="2721" w:type="dxa"/>
          </w:tcPr>
          <w:p w14:paraId="7B3B3C91" w14:textId="1D7B997E" w:rsidR="00CA3BA2" w:rsidRPr="00294C64" w:rsidRDefault="001A5AD1" w:rsidP="0065093D">
            <w:pPr>
              <w:spacing w:after="0" w:line="240" w:lineRule="auto"/>
              <w:rPr>
                <w:rFonts w:cstheme="minorHAnsi"/>
              </w:rPr>
            </w:pPr>
            <w:r w:rsidRPr="00294C64">
              <w:rPr>
                <w:rFonts w:cstheme="minorHAnsi"/>
                <w:b/>
                <w:bCs/>
              </w:rPr>
              <w:t>Pazienti in studio</w:t>
            </w:r>
            <w:r w:rsidR="00CA3BA2" w:rsidRPr="00294C64">
              <w:rPr>
                <w:rFonts w:cstheme="minorHAnsi"/>
                <w:b/>
                <w:bCs/>
              </w:rPr>
              <w:t xml:space="preserve"> </w:t>
            </w:r>
          </w:p>
        </w:tc>
        <w:tc>
          <w:tcPr>
            <w:tcW w:w="7030" w:type="dxa"/>
          </w:tcPr>
          <w:p w14:paraId="2A8F8070" w14:textId="5726C4D7" w:rsidR="00CA3BA2" w:rsidRPr="0065093D" w:rsidRDefault="001A5AD1" w:rsidP="0065093D">
            <w:pPr>
              <w:spacing w:after="0" w:line="240" w:lineRule="auto"/>
              <w:rPr>
                <w:rFonts w:cstheme="minorHAnsi"/>
              </w:rPr>
            </w:pPr>
            <w:r w:rsidRPr="0065093D">
              <w:rPr>
                <w:rFonts w:cstheme="minorHAnsi"/>
              </w:rPr>
              <w:t>La popolazione in studio costituita da pazienti con una conferma, all'intervento chirurgico o alla biopsia diagnostica, di carcinoma ovarico epiteliale delle tube di Falloppio o peritoneale primario di grado avanzato e che soddisfino i criteri di eleggibilità per iniziare un regime di chemioterapia in associazione a bevacizumab</w:t>
            </w:r>
          </w:p>
        </w:tc>
      </w:tr>
      <w:tr w:rsidR="00CA3BA2" w:rsidRPr="00294C64" w14:paraId="4839FD74" w14:textId="77777777" w:rsidTr="0065093D">
        <w:trPr>
          <w:trHeight w:val="227"/>
        </w:trPr>
        <w:tc>
          <w:tcPr>
            <w:tcW w:w="2721" w:type="dxa"/>
          </w:tcPr>
          <w:p w14:paraId="2D7D6CB9" w14:textId="77777777" w:rsidR="00CA3BA2" w:rsidRPr="00294C64" w:rsidRDefault="00CA3BA2" w:rsidP="0065093D">
            <w:pPr>
              <w:spacing w:after="0" w:line="240" w:lineRule="auto"/>
              <w:rPr>
                <w:rFonts w:cstheme="minorHAnsi"/>
              </w:rPr>
            </w:pPr>
            <w:r w:rsidRPr="00294C64">
              <w:rPr>
                <w:rFonts w:cstheme="minorHAnsi"/>
                <w:b/>
                <w:bCs/>
              </w:rPr>
              <w:t xml:space="preserve">Promotore </w:t>
            </w:r>
          </w:p>
        </w:tc>
        <w:tc>
          <w:tcPr>
            <w:tcW w:w="7030" w:type="dxa"/>
          </w:tcPr>
          <w:p w14:paraId="495A00E7" w14:textId="77777777" w:rsidR="001A5AD1" w:rsidRPr="0065093D" w:rsidRDefault="001A5AD1" w:rsidP="0065093D">
            <w:pPr>
              <w:spacing w:after="0" w:line="240" w:lineRule="auto"/>
              <w:rPr>
                <w:rFonts w:cstheme="minorHAnsi"/>
              </w:rPr>
            </w:pPr>
            <w:r w:rsidRPr="0065093D">
              <w:rPr>
                <w:rFonts w:cstheme="minorHAnsi"/>
              </w:rPr>
              <w:t>YMaGiNe (Young MaNGO Gynecologic Network)</w:t>
            </w:r>
          </w:p>
          <w:p w14:paraId="1CE175D0" w14:textId="77777777" w:rsidR="001A5AD1" w:rsidRPr="0065093D" w:rsidRDefault="001A5AD1" w:rsidP="0065093D">
            <w:pPr>
              <w:spacing w:after="0" w:line="240" w:lineRule="auto"/>
              <w:rPr>
                <w:rFonts w:cstheme="minorHAnsi"/>
              </w:rPr>
            </w:pPr>
            <w:r w:rsidRPr="0065093D">
              <w:rPr>
                <w:rFonts w:cstheme="minorHAnsi"/>
              </w:rPr>
              <w:t>Istituto di Ricerche Farmacologiche Mario Negri IRCCS</w:t>
            </w:r>
            <w:r w:rsidRPr="0065093D">
              <w:rPr>
                <w:rFonts w:cstheme="minorHAnsi"/>
              </w:rPr>
              <w:tab/>
            </w:r>
          </w:p>
          <w:p w14:paraId="0B2FEA3E" w14:textId="7B83800A" w:rsidR="00CA3BA2" w:rsidRPr="0065093D" w:rsidRDefault="001A5AD1" w:rsidP="0065093D">
            <w:pPr>
              <w:spacing w:after="0" w:line="240" w:lineRule="auto"/>
              <w:rPr>
                <w:rFonts w:cstheme="minorHAnsi"/>
              </w:rPr>
            </w:pPr>
            <w:r w:rsidRPr="0065093D">
              <w:rPr>
                <w:rFonts w:cstheme="minorHAnsi"/>
              </w:rPr>
              <w:t>Via Mario Negri, 2, 20156 Milano (Italy)</w:t>
            </w:r>
          </w:p>
        </w:tc>
      </w:tr>
      <w:tr w:rsidR="00CA3BA2" w:rsidRPr="00294C64" w14:paraId="3B3E0D64" w14:textId="77777777" w:rsidTr="0065093D">
        <w:trPr>
          <w:trHeight w:val="227"/>
        </w:trPr>
        <w:tc>
          <w:tcPr>
            <w:tcW w:w="2721" w:type="dxa"/>
          </w:tcPr>
          <w:p w14:paraId="73BD1611" w14:textId="77777777" w:rsidR="00CA3BA2" w:rsidRPr="00294C64" w:rsidRDefault="00CA3BA2" w:rsidP="0065093D">
            <w:pPr>
              <w:spacing w:after="0" w:line="240" w:lineRule="auto"/>
              <w:rPr>
                <w:rFonts w:cstheme="minorHAnsi"/>
              </w:rPr>
            </w:pPr>
            <w:r w:rsidRPr="00294C64">
              <w:rPr>
                <w:rFonts w:cstheme="minorHAnsi"/>
                <w:b/>
                <w:bCs/>
              </w:rPr>
              <w:t xml:space="preserve">Centro Coordinatore </w:t>
            </w:r>
          </w:p>
        </w:tc>
        <w:tc>
          <w:tcPr>
            <w:tcW w:w="7030" w:type="dxa"/>
          </w:tcPr>
          <w:p w14:paraId="176659A7" w14:textId="77777777" w:rsidR="001A5AD1" w:rsidRPr="0065093D" w:rsidRDefault="001A5AD1" w:rsidP="0065093D">
            <w:pPr>
              <w:spacing w:after="0" w:line="240" w:lineRule="auto"/>
              <w:rPr>
                <w:rFonts w:cstheme="minorHAnsi"/>
              </w:rPr>
            </w:pPr>
            <w:r w:rsidRPr="0065093D">
              <w:rPr>
                <w:rFonts w:cstheme="minorHAnsi"/>
              </w:rPr>
              <w:t>Università degli Studi di Roma “La Sapienza”</w:t>
            </w:r>
          </w:p>
          <w:p w14:paraId="0407D333" w14:textId="4C8A13B7" w:rsidR="00CA3BA2" w:rsidRPr="0065093D" w:rsidRDefault="001A5AD1" w:rsidP="0065093D">
            <w:pPr>
              <w:spacing w:after="0" w:line="240" w:lineRule="auto"/>
              <w:rPr>
                <w:rFonts w:cstheme="minorHAnsi"/>
              </w:rPr>
            </w:pPr>
            <w:r w:rsidRPr="0065093D">
              <w:rPr>
                <w:rFonts w:cstheme="minorHAnsi"/>
              </w:rPr>
              <w:t>Viale del Policlinico 155, Roma</w:t>
            </w:r>
          </w:p>
        </w:tc>
      </w:tr>
      <w:tr w:rsidR="00CA3BA2" w:rsidRPr="00294C64" w14:paraId="60CC6C5C" w14:textId="77777777" w:rsidTr="0065093D">
        <w:trPr>
          <w:trHeight w:val="227"/>
        </w:trPr>
        <w:tc>
          <w:tcPr>
            <w:tcW w:w="2721" w:type="dxa"/>
          </w:tcPr>
          <w:p w14:paraId="56948234" w14:textId="77777777" w:rsidR="00CA3BA2" w:rsidRPr="00294C64" w:rsidRDefault="00CA3BA2" w:rsidP="0065093D">
            <w:pPr>
              <w:spacing w:after="0" w:line="240" w:lineRule="auto"/>
              <w:rPr>
                <w:rFonts w:cstheme="minorHAnsi"/>
              </w:rPr>
            </w:pPr>
            <w:r w:rsidRPr="00294C64">
              <w:rPr>
                <w:rFonts w:cstheme="minorHAnsi"/>
                <w:b/>
                <w:bCs/>
              </w:rPr>
              <w:t xml:space="preserve">Clinical Research </w:t>
            </w:r>
          </w:p>
          <w:p w14:paraId="1A53ECAB" w14:textId="77777777" w:rsidR="00CA3BA2" w:rsidRPr="00294C64" w:rsidRDefault="00CA3BA2" w:rsidP="0065093D">
            <w:pPr>
              <w:spacing w:after="0" w:line="240" w:lineRule="auto"/>
              <w:rPr>
                <w:rFonts w:cstheme="minorHAnsi"/>
              </w:rPr>
            </w:pPr>
            <w:r w:rsidRPr="00294C64">
              <w:rPr>
                <w:rFonts w:cstheme="minorHAnsi"/>
                <w:b/>
                <w:bCs/>
              </w:rPr>
              <w:t xml:space="preserve">Organization (CRO) </w:t>
            </w:r>
          </w:p>
        </w:tc>
        <w:tc>
          <w:tcPr>
            <w:tcW w:w="7030" w:type="dxa"/>
          </w:tcPr>
          <w:p w14:paraId="20AB258E" w14:textId="233EC6C5" w:rsidR="00CA3BA2" w:rsidRPr="0065093D" w:rsidRDefault="001A5AD1" w:rsidP="0065093D">
            <w:pPr>
              <w:spacing w:after="0" w:line="240" w:lineRule="auto"/>
              <w:rPr>
                <w:rFonts w:cstheme="minorHAnsi"/>
              </w:rPr>
            </w:pPr>
            <w:r w:rsidRPr="0065093D">
              <w:rPr>
                <w:rFonts w:cstheme="minorHAnsi"/>
              </w:rPr>
              <w:t>NA</w:t>
            </w:r>
          </w:p>
        </w:tc>
      </w:tr>
      <w:tr w:rsidR="00CA3BA2" w:rsidRPr="00294C64" w14:paraId="4CF918B9" w14:textId="77777777" w:rsidTr="0065093D">
        <w:trPr>
          <w:trHeight w:val="227"/>
        </w:trPr>
        <w:tc>
          <w:tcPr>
            <w:tcW w:w="2721" w:type="dxa"/>
          </w:tcPr>
          <w:p w14:paraId="1D65F2F8" w14:textId="77777777" w:rsidR="00CA3BA2" w:rsidRPr="00294C64" w:rsidRDefault="00CA3BA2" w:rsidP="0065093D">
            <w:pPr>
              <w:spacing w:after="0" w:line="240" w:lineRule="auto"/>
              <w:rPr>
                <w:rFonts w:cstheme="minorHAnsi"/>
              </w:rPr>
            </w:pPr>
            <w:r w:rsidRPr="00294C64">
              <w:rPr>
                <w:rFonts w:cstheme="minorHAnsi"/>
                <w:b/>
                <w:bCs/>
              </w:rPr>
              <w:t xml:space="preserve">Centri partecipanti </w:t>
            </w:r>
          </w:p>
        </w:tc>
        <w:tc>
          <w:tcPr>
            <w:tcW w:w="7030" w:type="dxa"/>
          </w:tcPr>
          <w:p w14:paraId="6B26DCFF" w14:textId="7CE81BF1" w:rsidR="00CA3BA2" w:rsidRPr="0065093D" w:rsidRDefault="001A5AD1" w:rsidP="0065093D">
            <w:pPr>
              <w:spacing w:after="0" w:line="240" w:lineRule="auto"/>
              <w:rPr>
                <w:rFonts w:cstheme="minorHAnsi"/>
              </w:rPr>
            </w:pPr>
            <w:r w:rsidRPr="0065093D">
              <w:rPr>
                <w:rFonts w:cstheme="minorHAnsi"/>
              </w:rPr>
              <w:t>14</w:t>
            </w:r>
          </w:p>
        </w:tc>
      </w:tr>
      <w:tr w:rsidR="00CA3BA2" w:rsidRPr="00294C64" w14:paraId="0839966E" w14:textId="77777777" w:rsidTr="0065093D">
        <w:trPr>
          <w:trHeight w:val="227"/>
        </w:trPr>
        <w:tc>
          <w:tcPr>
            <w:tcW w:w="2721" w:type="dxa"/>
          </w:tcPr>
          <w:p w14:paraId="0B36553D" w14:textId="77777777" w:rsidR="00CA3BA2" w:rsidRPr="00294C64" w:rsidRDefault="00CA3BA2" w:rsidP="0065093D">
            <w:pPr>
              <w:spacing w:after="0" w:line="240" w:lineRule="auto"/>
              <w:rPr>
                <w:rFonts w:cstheme="minorHAnsi"/>
              </w:rPr>
            </w:pPr>
            <w:r w:rsidRPr="00294C64">
              <w:rPr>
                <w:rFonts w:cstheme="minorHAnsi"/>
                <w:b/>
                <w:bCs/>
              </w:rPr>
              <w:t xml:space="preserve">Numero di soggetti </w:t>
            </w:r>
          </w:p>
        </w:tc>
        <w:tc>
          <w:tcPr>
            <w:tcW w:w="7030" w:type="dxa"/>
          </w:tcPr>
          <w:p w14:paraId="3E70CB71" w14:textId="20D43AD0" w:rsidR="00CA3BA2" w:rsidRPr="0065093D" w:rsidRDefault="001A5AD1" w:rsidP="0065093D">
            <w:pPr>
              <w:spacing w:after="0" w:line="240" w:lineRule="auto"/>
              <w:rPr>
                <w:rFonts w:cstheme="minorHAnsi"/>
              </w:rPr>
            </w:pPr>
            <w:r w:rsidRPr="0065093D">
              <w:rPr>
                <w:rFonts w:cstheme="minorHAnsi"/>
              </w:rPr>
              <w:t>190</w:t>
            </w:r>
          </w:p>
        </w:tc>
      </w:tr>
      <w:tr w:rsidR="00CA3BA2" w:rsidRPr="00294C64" w14:paraId="2237CA64" w14:textId="77777777" w:rsidTr="0065093D">
        <w:trPr>
          <w:trHeight w:val="227"/>
        </w:trPr>
        <w:tc>
          <w:tcPr>
            <w:tcW w:w="2721" w:type="dxa"/>
          </w:tcPr>
          <w:p w14:paraId="244CAE6A" w14:textId="04A2C629" w:rsidR="00CA3BA2" w:rsidRPr="00294C64" w:rsidRDefault="0065093D" w:rsidP="0065093D">
            <w:pPr>
              <w:spacing w:after="0" w:line="240" w:lineRule="auto"/>
              <w:rPr>
                <w:rFonts w:cstheme="minorHAnsi"/>
              </w:rPr>
            </w:pPr>
            <w:r>
              <w:rPr>
                <w:rFonts w:cstheme="minorHAnsi"/>
                <w:b/>
                <w:bCs/>
              </w:rPr>
              <w:t>Durata dello studio</w:t>
            </w:r>
          </w:p>
        </w:tc>
        <w:tc>
          <w:tcPr>
            <w:tcW w:w="7030" w:type="dxa"/>
          </w:tcPr>
          <w:p w14:paraId="2CCBD1AE" w14:textId="14340CEF" w:rsidR="00CA3BA2" w:rsidRPr="0065093D" w:rsidRDefault="001A5AD1" w:rsidP="0065093D">
            <w:pPr>
              <w:spacing w:after="0" w:line="240" w:lineRule="auto"/>
              <w:rPr>
                <w:rFonts w:cstheme="minorHAnsi"/>
              </w:rPr>
            </w:pPr>
            <w:r w:rsidRPr="0065093D">
              <w:rPr>
                <w:rFonts w:cstheme="minorHAnsi"/>
              </w:rPr>
              <w:t>42 mesi</w:t>
            </w:r>
          </w:p>
        </w:tc>
      </w:tr>
      <w:tr w:rsidR="00CA3BA2" w:rsidRPr="00294C64" w14:paraId="47082B7A" w14:textId="77777777" w:rsidTr="0065093D">
        <w:trPr>
          <w:trHeight w:val="227"/>
        </w:trPr>
        <w:tc>
          <w:tcPr>
            <w:tcW w:w="2721" w:type="dxa"/>
          </w:tcPr>
          <w:p w14:paraId="515C316C" w14:textId="243FC8AF" w:rsidR="00CA3BA2" w:rsidRPr="00294C64" w:rsidRDefault="00294C64" w:rsidP="0065093D">
            <w:pPr>
              <w:spacing w:after="0" w:line="240" w:lineRule="auto"/>
              <w:rPr>
                <w:rFonts w:cstheme="minorHAnsi"/>
              </w:rPr>
            </w:pPr>
            <w:r>
              <w:rPr>
                <w:rFonts w:cstheme="minorHAnsi"/>
                <w:b/>
                <w:bCs/>
              </w:rPr>
              <w:t xml:space="preserve">Periodo </w:t>
            </w:r>
            <w:r w:rsidR="00CA3BA2" w:rsidRPr="00294C64">
              <w:rPr>
                <w:rFonts w:cstheme="minorHAnsi"/>
                <w:b/>
                <w:bCs/>
              </w:rPr>
              <w:t xml:space="preserve">di arruolamento </w:t>
            </w:r>
          </w:p>
        </w:tc>
        <w:tc>
          <w:tcPr>
            <w:tcW w:w="7030" w:type="dxa"/>
          </w:tcPr>
          <w:p w14:paraId="58E0E6EE" w14:textId="09FF8881" w:rsidR="00CA3BA2" w:rsidRPr="0065093D" w:rsidRDefault="001A5AD1" w:rsidP="0065093D">
            <w:pPr>
              <w:spacing w:after="0" w:line="240" w:lineRule="auto"/>
              <w:rPr>
                <w:rFonts w:cstheme="minorHAnsi"/>
              </w:rPr>
            </w:pPr>
            <w:r w:rsidRPr="0065093D">
              <w:rPr>
                <w:rFonts w:cstheme="minorHAnsi"/>
              </w:rPr>
              <w:t>12 mesi</w:t>
            </w:r>
          </w:p>
        </w:tc>
      </w:tr>
      <w:tr w:rsidR="00CA3BA2" w:rsidRPr="00294C64" w14:paraId="0D42033D" w14:textId="77777777" w:rsidTr="0065093D">
        <w:trPr>
          <w:trHeight w:val="227"/>
        </w:trPr>
        <w:tc>
          <w:tcPr>
            <w:tcW w:w="2721" w:type="dxa"/>
          </w:tcPr>
          <w:p w14:paraId="1F78BA31" w14:textId="77777777" w:rsidR="00CA3BA2" w:rsidRPr="00294C64" w:rsidRDefault="00CA3BA2" w:rsidP="0065093D">
            <w:pPr>
              <w:spacing w:after="0" w:line="240" w:lineRule="auto"/>
              <w:rPr>
                <w:rFonts w:cstheme="minorHAnsi"/>
              </w:rPr>
            </w:pPr>
            <w:r w:rsidRPr="00294C64">
              <w:rPr>
                <w:rFonts w:cstheme="minorHAnsi"/>
                <w:b/>
                <w:bCs/>
              </w:rPr>
              <w:t xml:space="preserve">Disegno dello studio </w:t>
            </w:r>
          </w:p>
        </w:tc>
        <w:tc>
          <w:tcPr>
            <w:tcW w:w="7030" w:type="dxa"/>
          </w:tcPr>
          <w:p w14:paraId="424632CF"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Questo è uno studio prospettico, di fase IV, multicentrico volto a descrivere le caratteristiche cliniche e molecolari che potrebbero indirizzare le pazienti con diagnosi di carcinoma epiteliale avanzato dell'ovaio, delle tube di Falloppio o peritoneale primario di alto grado, a ricevere olaparib più bevacizumab come mantenimento in prima linea e per confermare l'efficacia clinica e la sicurezza di olaparib quando somministrato in associazione con bevacizumab.</w:t>
            </w:r>
          </w:p>
          <w:p w14:paraId="1A180286"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 xml:space="preserve">La popolazione è costituita da pazienti con una conferma, all'intervento chirurgico o alla biopsia diagnostica, di carcinoma ovarico epiteliale delle tube di Falloppio o peritoneale primario di grado avanzato e che soddisfi i criteri di eleggibilità per iniziare un regime di chemioterapia in associazione a </w:t>
            </w:r>
            <w:r w:rsidRPr="0065093D">
              <w:rPr>
                <w:rFonts w:cstheme="minorHAnsi"/>
              </w:rPr>
              <w:lastRenderedPageBreak/>
              <w:t>bevacizumab.  I campioni di tumore prelevati durante l'intervento chirurgico verranno valutati per lo stato HRD mediante il test Myriad Mychoice CDxPlus. Dopo la chirurgia le pazienti inizieranno una chemioterapia standard a base di platino in associazione a bevacizumab. Le pazienti che saranno in risposta completa o parziale dopo chemioterapia di prima linea a base di platino più bevacizumab, con tumore HRD-positivo secondo la valutazione Myriad Mychoice CDx Plus (inclusi tumori con mutazione BRCA1-2) e che soddisferanno i criteri di eleggibilità specifici inizieranno la terapia di mantenimento con olaparib in combinazione con bevacizumab. La terapia con olaparib inizierà in un intervallo di tempo compreso tra 3 settimane e 9 settimane dopo l'ultima dose di chemioterapia.</w:t>
            </w:r>
          </w:p>
          <w:p w14:paraId="2625818F"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Le pazienti continueranno ad assumere olaparib per un massimo di 2 anni oppure fino a progressione di malattia (determinata da RECIST), a seconda di cosa si verifica per primo.</w:t>
            </w:r>
          </w:p>
          <w:p w14:paraId="07E80B3E"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Le pazienti con evidenza di malattia stabile a 2 anni, che secondo il giudizio dello sperimentatore potrebbero trarre ulteriori benefici dall’assunzione di olaparib, potranno continuare a ricevere olaparib oltre i 2 anni.</w:t>
            </w:r>
          </w:p>
          <w:p w14:paraId="6C03F727"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La terapia con bevacizumab continuerà fino a progressione radiologica di malattia o fino ad un massimo di 15 mesi (includendo la terapia di combinazione con la chemioterapia a base di platino), a seconda di cosa si verifica per primo.</w:t>
            </w:r>
          </w:p>
          <w:p w14:paraId="6F2D84C2"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Al momento dell’interruzione del trattamento con olaparib la scelta delle eventuali terapie successive sarà effettuata secondo il giudizio dello sperimentatore.</w:t>
            </w:r>
          </w:p>
          <w:p w14:paraId="404AEE67"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 xml:space="preserve">Durante il trattamento con olaparib sarà effettuata una valutazione di sicurezza ogni 3 settimane, quando olaparib è somministrato insieme a bevacizumab, e poi ogni 6 settimane. </w:t>
            </w:r>
          </w:p>
          <w:p w14:paraId="15A8BCDD"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La valutazione del CA-125 verrà eseguita ogni 12 settimane durante la terapia con olaparib. Le valutazioni radiologiche saranno eseguite ogni 24 settimane, fino alla progressione radiologica di malattia valutata secondo i criteri RECIST 1.1.</w:t>
            </w:r>
          </w:p>
          <w:p w14:paraId="05621CCA"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 xml:space="preserve">Tutte le pazienti saranno seguite dalla chirurgia fino alla progressione di malattia con campioni di sangue e di plasma in accordo al disegno dello studio traslazionale n. 1 per un massimo di 2 anni. NB: lo studio traslazionale n. 1 prevede di raccogliere un campione di sangue e plasma prima di iniziare </w:t>
            </w:r>
            <w:r w:rsidRPr="0065093D">
              <w:rPr>
                <w:rFonts w:cstheme="minorHAnsi"/>
              </w:rPr>
              <w:lastRenderedPageBreak/>
              <w:t>qualsiasi trattamento inclusa la chirurgia (chirurgia primaria o laparoscopia/chirurgia diagnostica) e questo comporta che alcune pazienti dovranno firmare un consenso informato per la raccolta di campioni e dei dati prima dell'intervento chirurgico, quindi anche in assenza di conferma di diagnosi istologica di carcinoma epiteliale ovarico di alto grado. Nel caso di pazienti che saranno sottoposte a chirurgia di debulking di intervallo, la raccolta dei campioni ematici inizierà prima della laparoscopia/chirurgia diagnostica.</w:t>
            </w:r>
          </w:p>
          <w:p w14:paraId="1FF73532"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Per lo studio traslazionale n.1 e gli obiettivi esplorativi verranno raccolti i seguenti campioni biologici:</w:t>
            </w:r>
          </w:p>
          <w:p w14:paraId="69C08166" w14:textId="6293C5AA"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Campione di tumore ovarico derivato da chirurgia primaria di debulking (PDS-Primary Debulking Surgery) (T0). Per le pazienti che verranno sottoposte a chemioterapia neoadiuvante (NACT-NeoAdjuvantChemoTherapy), il campione di tumore verrà raccolto durante l'interval debulking Surgery (IDS) (T0) e, se possibile, anche durante la chirurgia diagnostica (T-1). Per ogni campione saranno preparate, dalle unità di patologia anatomica, almeno dodici sezioni FFPE di 5-</w:t>
            </w:r>
            <w:r w:rsidRPr="0065093D">
              <w:rPr>
                <w:rFonts w:asciiTheme="minorHAnsi" w:hAnsiTheme="minorHAnsi" w:cstheme="minorHAnsi"/>
                <w:color w:val="101010"/>
                <w:sz w:val="22"/>
                <w:szCs w:val="22"/>
                <w:lang w:val="it-IT"/>
              </w:rPr>
              <w:t>m e sei sezioni FFPE di 3-</w:t>
            </w:r>
            <w:r w:rsidRPr="0065093D">
              <w:rPr>
                <w:rFonts w:asciiTheme="minorHAnsi" w:hAnsiTheme="minorHAnsi" w:cstheme="minorHAnsi"/>
                <w:color w:val="101010"/>
                <w:sz w:val="22"/>
                <w:szCs w:val="22"/>
                <w:lang w:val="it-IT"/>
              </w:rPr>
              <w:t>m.</w:t>
            </w:r>
          </w:p>
          <w:p w14:paraId="193115C7" w14:textId="25900873"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Campione di sangue intero (6 mL) e campione di plasma (8 mL) ottenuti prima della chirurgia (T0) nel caso di PDS o prima della chirurgia diagnostica (T-1) in caso di IDS</w:t>
            </w:r>
          </w:p>
          <w:p w14:paraId="0B1D201B" w14:textId="4BFA440B"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-Campione di plasma (8mL) prima della chirurgia (T0) nel caso di PDS o prima della chirurgia diagnostica (T-1) in caso di IDS</w:t>
            </w:r>
          </w:p>
          <w:p w14:paraId="776550BF"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 xml:space="preserve">NB: eventuali campioni prelevati dai sottotipi istologici di carcinoma ovarico non epiteliale di alto grado (pazienti screening failure) saranno distrutti presso i centri sperimentali e non verranno raccolti ulteriori campioni biologici dalle pazienti.  </w:t>
            </w:r>
          </w:p>
          <w:p w14:paraId="04D79E49"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Per le pazienti con diagnosi confermata di carcinoma epiteliale ovarico di alto grado avanzato verranno raccolti ulteriori campioni secondo le seguenti tempistiche:</w:t>
            </w:r>
          </w:p>
          <w:p w14:paraId="5EE00366" w14:textId="34E9EDB5"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 xml:space="preserve">8 mL di plasma dopo la PDS o la IDS ma prima di iniziare o di riprendere (nel caso di pazienti che faranno IDS) la chemioterapia a base di platino (T1, indipendentemente dal tipo di intervento chirurgico)  </w:t>
            </w:r>
          </w:p>
          <w:p w14:paraId="52EF58B0" w14:textId="75F074AE"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8 mL di plasma all'ultimo ciclo di chemioterapia della prima linea a base di platino (T2).</w:t>
            </w:r>
          </w:p>
          <w:p w14:paraId="432A42B6" w14:textId="6CCCBA80"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8 mL di plasma ogni 12 settimane (T3-1, T3-2, T3-3…) fino a progressione o comunque per un massimo di 2 anni dall'ultimo ciclo di chemioterapia a base di platino e indipendentemente dalla terapia di mantenimento.</w:t>
            </w:r>
          </w:p>
          <w:p w14:paraId="474E13BD" w14:textId="79EF36F6"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8 mL di plasma alla progressione di malattia (T4).</w:t>
            </w:r>
          </w:p>
          <w:p w14:paraId="1958086A"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A causa della natura prova-di-fattibilità dello studio traslazionale n.2, il modello organotipico verrà ricostruito per un sottogruppo di pazienti incluse da centri selezionati e trattate con olaparib.</w:t>
            </w:r>
          </w:p>
          <w:p w14:paraId="61477A4F"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 xml:space="preserve">Alla firma dello specifico consenso informato, verranno raccolti al momento dell'intervento chirurgico (T0) e inviati entro 24 ore al laboratorio responsabile per la generazione del modello organotipico, i seguenti campioni:  </w:t>
            </w:r>
          </w:p>
          <w:p w14:paraId="0E2C248F" w14:textId="2747999B"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Tessuto tumorale fresco da utilizzare per l'isolamento delle cellule tumorali</w:t>
            </w:r>
          </w:p>
          <w:p w14:paraId="4E833F17" w14:textId="5F553622"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Liquido ascitico da utilizzare per l'isolamento delle cellule tumorali</w:t>
            </w:r>
          </w:p>
          <w:p w14:paraId="758BBF97" w14:textId="271F045B" w:rsidR="00CA3BA2"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sz w:val="22"/>
                <w:szCs w:val="22"/>
              </w:rPr>
            </w:pPr>
            <w:r w:rsidRPr="0065093D">
              <w:rPr>
                <w:rFonts w:asciiTheme="minorHAnsi" w:hAnsiTheme="minorHAnsi" w:cstheme="minorHAnsi"/>
                <w:color w:val="101010"/>
                <w:sz w:val="22"/>
                <w:szCs w:val="22"/>
                <w:lang w:val="it-IT"/>
              </w:rPr>
              <w:t>Omento macroscopicamente sano da utilizzare per l'isolamento delle cellule mesoteliali e dei fibroblasti.</w:t>
            </w:r>
          </w:p>
        </w:tc>
      </w:tr>
      <w:tr w:rsidR="00CA3BA2" w:rsidRPr="00294C64" w14:paraId="13B895AA" w14:textId="77777777" w:rsidTr="0065093D">
        <w:trPr>
          <w:trHeight w:val="227"/>
        </w:trPr>
        <w:tc>
          <w:tcPr>
            <w:tcW w:w="2721" w:type="dxa"/>
          </w:tcPr>
          <w:p w14:paraId="3882E68B" w14:textId="77777777" w:rsidR="00CA3BA2" w:rsidRPr="00294C64" w:rsidRDefault="00CA3BA2" w:rsidP="0065093D">
            <w:pPr>
              <w:spacing w:after="0" w:line="240" w:lineRule="auto"/>
              <w:rPr>
                <w:rFonts w:cstheme="minorHAnsi"/>
              </w:rPr>
            </w:pPr>
            <w:r w:rsidRPr="00294C64">
              <w:rPr>
                <w:rFonts w:cstheme="minorHAnsi"/>
                <w:b/>
                <w:bCs/>
              </w:rPr>
              <w:lastRenderedPageBreak/>
              <w:t xml:space="preserve">Obiettivo primario </w:t>
            </w:r>
          </w:p>
        </w:tc>
        <w:tc>
          <w:tcPr>
            <w:tcW w:w="7030" w:type="dxa"/>
          </w:tcPr>
          <w:p w14:paraId="2BC69894" w14:textId="77777777" w:rsidR="001A5AD1" w:rsidRPr="0065093D" w:rsidRDefault="001A5AD1" w:rsidP="0065093D">
            <w:pPr>
              <w:autoSpaceDE w:val="0"/>
              <w:autoSpaceDN w:val="0"/>
              <w:adjustRightInd w:val="0"/>
              <w:spacing w:after="0" w:line="240" w:lineRule="auto"/>
              <w:rPr>
                <w:rFonts w:cstheme="minorHAnsi"/>
                <w:i/>
                <w:iCs/>
                <w:color w:val="101010"/>
              </w:rPr>
            </w:pPr>
            <w:r w:rsidRPr="0065093D">
              <w:rPr>
                <w:rFonts w:cstheme="minorHAnsi"/>
                <w:color w:val="101010"/>
              </w:rPr>
              <w:t>Gli obiettivi primari dello studio IOlAnTHe sono:</w:t>
            </w:r>
          </w:p>
          <w:p w14:paraId="7CD83D0E" w14:textId="77777777" w:rsidR="001A5AD1" w:rsidRPr="0065093D" w:rsidRDefault="001A5AD1" w:rsidP="0065093D">
            <w:pPr>
              <w:pStyle w:val="Paragrafoelenco"/>
              <w:numPr>
                <w:ilvl w:val="0"/>
                <w:numId w:val="1"/>
              </w:numPr>
              <w:autoSpaceDE w:val="0"/>
              <w:autoSpaceDN w:val="0"/>
              <w:adjustRightInd w:val="0"/>
              <w:spacing w:before="0" w:after="0" w:line="240" w:lineRule="auto"/>
              <w:ind w:left="298" w:hanging="142"/>
              <w:rPr>
                <w:rFonts w:asciiTheme="minorHAnsi" w:hAnsiTheme="minorHAnsi" w:cstheme="minorHAnsi"/>
                <w:color w:val="101010"/>
                <w:sz w:val="22"/>
                <w:szCs w:val="22"/>
                <w:lang w:val="it-IT"/>
              </w:rPr>
            </w:pPr>
            <w:r w:rsidRPr="0065093D">
              <w:rPr>
                <w:rFonts w:asciiTheme="minorHAnsi" w:hAnsiTheme="minorHAnsi" w:cstheme="minorHAnsi"/>
                <w:color w:val="101010"/>
                <w:sz w:val="22"/>
                <w:szCs w:val="22"/>
                <w:lang w:val="it-IT"/>
              </w:rPr>
              <w:t xml:space="preserve">Definire, nella popolazione di pazienti con carcinoma ovarico epiteliale avanzato di alto grado HRD-positive afferenti ai centri partecipanti, la </w:t>
            </w:r>
            <w:r w:rsidRPr="0065093D">
              <w:rPr>
                <w:rFonts w:asciiTheme="minorHAnsi" w:hAnsiTheme="minorHAnsi" w:cstheme="minorHAnsi"/>
                <w:i/>
                <w:color w:val="101010"/>
                <w:sz w:val="22"/>
                <w:szCs w:val="22"/>
                <w:lang w:val="it-IT"/>
              </w:rPr>
              <w:t>proporzione</w:t>
            </w:r>
            <w:r w:rsidRPr="0065093D">
              <w:rPr>
                <w:rFonts w:asciiTheme="minorHAnsi" w:hAnsiTheme="minorHAnsi" w:cstheme="minorHAnsi"/>
                <w:color w:val="101010"/>
                <w:sz w:val="22"/>
                <w:szCs w:val="22"/>
                <w:lang w:val="it-IT"/>
              </w:rPr>
              <w:t xml:space="preserve"> di pazienti che verranno trattate in prima linea con olaparib in combinazione con bevacizumab come terapia di mantenimento e descrivere le caratteristiche cliniche e molecolari di tale gruppo di pazienti. La proporzione di pazienti trattate con olaparib sarà calcolata come numero di pazienti che iniziano la terapia con olaparib sul numero totale di pazienti incluse nello studio.</w:t>
            </w:r>
          </w:p>
          <w:p w14:paraId="0EAB3361" w14:textId="7E345AA7" w:rsidR="001A5AD1" w:rsidRPr="0065093D" w:rsidRDefault="001A5AD1" w:rsidP="0065093D">
            <w:pPr>
              <w:pStyle w:val="Paragrafoelenco"/>
              <w:widowControl w:val="0"/>
              <w:numPr>
                <w:ilvl w:val="0"/>
                <w:numId w:val="1"/>
              </w:numPr>
              <w:autoSpaceDE w:val="0"/>
              <w:autoSpaceDN w:val="0"/>
              <w:adjustRightInd w:val="0"/>
              <w:spacing w:before="0" w:after="0" w:line="240" w:lineRule="auto"/>
              <w:ind w:left="298"/>
              <w:rPr>
                <w:rFonts w:asciiTheme="minorHAnsi" w:hAnsiTheme="minorHAnsi" w:cstheme="minorHAnsi"/>
                <w:sz w:val="22"/>
                <w:szCs w:val="22"/>
              </w:rPr>
            </w:pPr>
            <w:r w:rsidRPr="0065093D">
              <w:rPr>
                <w:rFonts w:asciiTheme="minorHAnsi" w:hAnsiTheme="minorHAnsi" w:cstheme="minorHAnsi"/>
                <w:sz w:val="22"/>
                <w:szCs w:val="22"/>
              </w:rPr>
              <w:t xml:space="preserve">Confermare, in </w:t>
            </w:r>
            <w:proofErr w:type="gramStart"/>
            <w:r w:rsidRPr="0065093D">
              <w:rPr>
                <w:rFonts w:asciiTheme="minorHAnsi" w:hAnsiTheme="minorHAnsi" w:cstheme="minorHAnsi"/>
                <w:sz w:val="22"/>
                <w:szCs w:val="22"/>
              </w:rPr>
              <w:t>un</w:t>
            </w:r>
            <w:proofErr w:type="gramEnd"/>
            <w:r w:rsidRPr="0065093D">
              <w:rPr>
                <w:rFonts w:asciiTheme="minorHAnsi" w:hAnsiTheme="minorHAnsi" w:cstheme="minorHAnsi"/>
                <w:sz w:val="22"/>
                <w:szCs w:val="22"/>
              </w:rPr>
              <w:t xml:space="preserve"> contesto vicino alla pratica clinica, l’efficacia di olaparib in associazione con bevacizumab dopo il trattamento in prima linea con una terapia a base di platino e bevacizumab, in pazienti con carcinoma ovarico epiteliale avanzato di alto grado, HRD positive e che abbiano ricevuto bevacizumab in combinazione alla chemioterapia.</w:t>
            </w:r>
          </w:p>
          <w:p w14:paraId="10D342DB" w14:textId="66C37F43" w:rsidR="00CA3BA2"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L’efficacia sarà valutata in termini di PFS a 24 mesi. La PFS è definita come il tempo dalla data di inizio della terapia con olaparib fino alla progressione di malattia o morte, a seconda di cosa accade prima.</w:t>
            </w:r>
          </w:p>
        </w:tc>
      </w:tr>
      <w:tr w:rsidR="00CA3BA2" w:rsidRPr="00294C64" w14:paraId="34FCC838" w14:textId="77777777" w:rsidTr="0065093D">
        <w:trPr>
          <w:trHeight w:val="227"/>
        </w:trPr>
        <w:tc>
          <w:tcPr>
            <w:tcW w:w="2721" w:type="dxa"/>
          </w:tcPr>
          <w:p w14:paraId="1EE60827" w14:textId="77777777" w:rsidR="00CA3BA2" w:rsidRPr="00294C64" w:rsidRDefault="00CA3BA2" w:rsidP="0065093D">
            <w:pPr>
              <w:spacing w:after="0" w:line="240" w:lineRule="auto"/>
              <w:rPr>
                <w:rFonts w:cstheme="minorHAnsi"/>
                <w:b/>
                <w:bCs/>
              </w:rPr>
            </w:pPr>
            <w:r w:rsidRPr="00294C64">
              <w:rPr>
                <w:rFonts w:cstheme="minorHAnsi"/>
                <w:b/>
                <w:bCs/>
              </w:rPr>
              <w:t xml:space="preserve">Obiettivi secondari </w:t>
            </w:r>
          </w:p>
        </w:tc>
        <w:tc>
          <w:tcPr>
            <w:tcW w:w="7030" w:type="dxa"/>
          </w:tcPr>
          <w:p w14:paraId="051BEB42" w14:textId="77777777" w:rsidR="001A5AD1" w:rsidRPr="0065093D" w:rsidRDefault="001A5AD1" w:rsidP="0065093D">
            <w:pPr>
              <w:pStyle w:val="Paragrafoelenco"/>
              <w:widowControl w:val="0"/>
              <w:numPr>
                <w:ilvl w:val="0"/>
                <w:numId w:val="1"/>
              </w:numPr>
              <w:autoSpaceDE w:val="0"/>
              <w:autoSpaceDN w:val="0"/>
              <w:adjustRightInd w:val="0"/>
              <w:spacing w:before="0" w:after="0" w:line="240" w:lineRule="auto"/>
              <w:ind w:left="298"/>
              <w:rPr>
                <w:rFonts w:asciiTheme="minorHAnsi" w:hAnsiTheme="minorHAnsi" w:cstheme="minorHAnsi"/>
                <w:sz w:val="22"/>
                <w:szCs w:val="22"/>
              </w:rPr>
            </w:pPr>
            <w:proofErr w:type="gramStart"/>
            <w:r w:rsidRPr="0065093D">
              <w:rPr>
                <w:rFonts w:asciiTheme="minorHAnsi" w:hAnsiTheme="minorHAnsi" w:cstheme="minorHAnsi"/>
                <w:sz w:val="22"/>
                <w:szCs w:val="22"/>
              </w:rPr>
              <w:t>descrivere</w:t>
            </w:r>
            <w:proofErr w:type="gramEnd"/>
            <w:r w:rsidRPr="0065093D">
              <w:rPr>
                <w:rFonts w:asciiTheme="minorHAnsi" w:hAnsiTheme="minorHAnsi" w:cstheme="minorHAnsi"/>
                <w:sz w:val="22"/>
                <w:szCs w:val="22"/>
              </w:rPr>
              <w:t xml:space="preserve"> la compliance della terapia con olaparib somministrato insieme a bevacizumab, in termini di durata e modifiche del trattamento.</w:t>
            </w:r>
          </w:p>
          <w:p w14:paraId="1B1CE6B8" w14:textId="77777777" w:rsidR="001A5AD1" w:rsidRPr="0065093D" w:rsidRDefault="001A5AD1" w:rsidP="0065093D">
            <w:pPr>
              <w:pStyle w:val="Paragrafoelenco"/>
              <w:widowControl w:val="0"/>
              <w:numPr>
                <w:ilvl w:val="0"/>
                <w:numId w:val="1"/>
              </w:numPr>
              <w:autoSpaceDE w:val="0"/>
              <w:autoSpaceDN w:val="0"/>
              <w:adjustRightInd w:val="0"/>
              <w:spacing w:before="0" w:after="0" w:line="240" w:lineRule="auto"/>
              <w:ind w:left="298"/>
              <w:rPr>
                <w:rFonts w:asciiTheme="minorHAnsi" w:hAnsiTheme="minorHAnsi" w:cstheme="minorHAnsi"/>
                <w:sz w:val="22"/>
                <w:szCs w:val="22"/>
              </w:rPr>
            </w:pPr>
            <w:r w:rsidRPr="0065093D">
              <w:rPr>
                <w:rFonts w:asciiTheme="minorHAnsi" w:hAnsiTheme="minorHAnsi" w:cstheme="minorHAnsi"/>
                <w:sz w:val="22"/>
                <w:szCs w:val="22"/>
              </w:rPr>
              <w:t xml:space="preserve">descrivere il profilo di sicurezza dell’olaparib aggiunto alla terapia con bevacizumab </w:t>
            </w:r>
          </w:p>
          <w:p w14:paraId="6C4883FF" w14:textId="37F94804" w:rsidR="00CA3BA2" w:rsidRPr="0065093D" w:rsidRDefault="001A5AD1" w:rsidP="0065093D">
            <w:pPr>
              <w:pStyle w:val="Paragrafoelenco"/>
              <w:widowControl w:val="0"/>
              <w:numPr>
                <w:ilvl w:val="0"/>
                <w:numId w:val="1"/>
              </w:numPr>
              <w:autoSpaceDE w:val="0"/>
              <w:autoSpaceDN w:val="0"/>
              <w:adjustRightInd w:val="0"/>
              <w:spacing w:before="0" w:after="0" w:line="240" w:lineRule="auto"/>
              <w:ind w:left="298"/>
              <w:rPr>
                <w:rFonts w:asciiTheme="minorHAnsi" w:hAnsiTheme="minorHAnsi" w:cstheme="minorHAnsi"/>
                <w:sz w:val="22"/>
                <w:szCs w:val="22"/>
              </w:rPr>
            </w:pPr>
            <w:proofErr w:type="gramStart"/>
            <w:r w:rsidRPr="0065093D">
              <w:rPr>
                <w:rFonts w:asciiTheme="minorHAnsi" w:hAnsiTheme="minorHAnsi" w:cstheme="minorHAnsi"/>
                <w:sz w:val="22"/>
                <w:szCs w:val="22"/>
              </w:rPr>
              <w:t>descrivere</w:t>
            </w:r>
            <w:proofErr w:type="gramEnd"/>
            <w:r w:rsidRPr="0065093D">
              <w:rPr>
                <w:rFonts w:asciiTheme="minorHAnsi" w:hAnsiTheme="minorHAnsi" w:cstheme="minorHAnsi"/>
                <w:sz w:val="22"/>
                <w:szCs w:val="22"/>
              </w:rPr>
              <w:t xml:space="preserve"> l’efficacia della terapia con olaparib in termini di Progression-Free Survival 2 (PFS2), definita come il tempo dalla data di inizio della terapia con olaparib alla seconda progressione o morte, a seconda di cosa accade prima, e in termini di Overall Survival (OS).</w:t>
            </w:r>
          </w:p>
        </w:tc>
      </w:tr>
      <w:tr w:rsidR="00CA3BA2" w:rsidRPr="00294C64" w14:paraId="24C6B998" w14:textId="77777777" w:rsidTr="0065093D">
        <w:trPr>
          <w:trHeight w:val="227"/>
        </w:trPr>
        <w:tc>
          <w:tcPr>
            <w:tcW w:w="2721" w:type="dxa"/>
          </w:tcPr>
          <w:p w14:paraId="6099EC7A" w14:textId="08C5E713" w:rsidR="00CA3BA2" w:rsidRPr="00294C64" w:rsidRDefault="001A5AD1" w:rsidP="0065093D">
            <w:pPr>
              <w:spacing w:after="0" w:line="240" w:lineRule="auto"/>
              <w:rPr>
                <w:rFonts w:cstheme="minorHAnsi"/>
                <w:b/>
                <w:bCs/>
              </w:rPr>
            </w:pPr>
            <w:r w:rsidRPr="00294C64">
              <w:rPr>
                <w:rFonts w:cstheme="minorHAnsi"/>
                <w:b/>
                <w:bCs/>
              </w:rPr>
              <w:t>Studi traslazionali e obiettivi esplorativi</w:t>
            </w:r>
            <w:r w:rsidR="00CA3BA2" w:rsidRPr="00294C64">
              <w:rPr>
                <w:rFonts w:cstheme="minorHAnsi"/>
                <w:b/>
                <w:bCs/>
              </w:rPr>
              <w:t xml:space="preserve"> </w:t>
            </w:r>
          </w:p>
        </w:tc>
        <w:tc>
          <w:tcPr>
            <w:tcW w:w="7030" w:type="dxa"/>
          </w:tcPr>
          <w:p w14:paraId="76717F85" w14:textId="77777777" w:rsidR="001A5AD1" w:rsidRPr="0065093D" w:rsidRDefault="001A5AD1" w:rsidP="0065093D">
            <w:pPr>
              <w:widowControl w:val="0"/>
              <w:autoSpaceDE w:val="0"/>
              <w:autoSpaceDN w:val="0"/>
              <w:adjustRightInd w:val="0"/>
              <w:spacing w:after="0" w:line="240" w:lineRule="auto"/>
              <w:rPr>
                <w:rFonts w:cstheme="minorHAnsi"/>
                <w:u w:val="single"/>
                <w:lang w:eastAsia="it-IT"/>
              </w:rPr>
            </w:pPr>
            <w:r w:rsidRPr="0065093D">
              <w:rPr>
                <w:rFonts w:cstheme="minorHAnsi"/>
                <w:i/>
                <w:u w:val="single"/>
              </w:rPr>
              <w:t xml:space="preserve">Studio traslazionale no. 1 </w:t>
            </w:r>
          </w:p>
          <w:p w14:paraId="7B3603E1" w14:textId="77777777" w:rsidR="001A5AD1" w:rsidRPr="0065093D" w:rsidRDefault="001A5AD1" w:rsidP="0065093D">
            <w:pPr>
              <w:widowControl w:val="0"/>
              <w:autoSpaceDE w:val="0"/>
              <w:autoSpaceDN w:val="0"/>
              <w:adjustRightInd w:val="0"/>
              <w:spacing w:after="0" w:line="240" w:lineRule="auto"/>
              <w:rPr>
                <w:rFonts w:cstheme="minorHAnsi"/>
                <w:lang w:eastAsia="it-IT"/>
              </w:rPr>
            </w:pPr>
            <w:r w:rsidRPr="0065093D">
              <w:rPr>
                <w:rFonts w:cstheme="minorHAnsi"/>
                <w:lang w:eastAsia="it-IT"/>
              </w:rPr>
              <w:t>L'analisi del ctDNA, sfruttando l’approccio low pass whole genome sequencing (sWGS)  sarà finalizzata a: 1) studiare l'associazione tra tumore residuo e livelli di ctDNA ovvero la percentuale  di Tumor Fraction (TF); 2) diagnosticare anticipatamente la recidiva del tumore attraverso il monitoraggio longitudinale dei livelli plasmatici di TF; 3) monitorare longitudinalmente, durante la terapia di mantenimento con olaparib e bevacizumab, lo stato mutazionale dei geni correlati all'HR e di altri geni come Tp53BP1, POLQ, REV7 noti per contribuire alla resistenza ai PARPi.</w:t>
            </w:r>
          </w:p>
          <w:p w14:paraId="623FC499" w14:textId="77777777" w:rsidR="001A5AD1" w:rsidRPr="0065093D" w:rsidRDefault="001A5AD1" w:rsidP="0065093D">
            <w:pPr>
              <w:widowControl w:val="0"/>
              <w:autoSpaceDE w:val="0"/>
              <w:autoSpaceDN w:val="0"/>
              <w:adjustRightInd w:val="0"/>
              <w:spacing w:after="0" w:line="240" w:lineRule="auto"/>
              <w:rPr>
                <w:rFonts w:cstheme="minorHAnsi"/>
                <w:u w:val="single"/>
                <w:lang w:eastAsia="it-IT"/>
              </w:rPr>
            </w:pPr>
            <w:r w:rsidRPr="0065093D">
              <w:rPr>
                <w:rFonts w:cstheme="minorHAnsi"/>
                <w:i/>
                <w:u w:val="single"/>
              </w:rPr>
              <w:t>Studio traslazionale no. 2</w:t>
            </w:r>
          </w:p>
          <w:p w14:paraId="43661725"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I modelli organotipici saranno sviluppati per confrontare la risposta delle pazienti alla terapia (misurata come migliore risposta durante il trattamento di mantenimento) con quella delle cellule tumorali (considerando sia le cellule staminali tumorali che le altre cellule tumorali), derivate dalla stessa paziente e trattate con olaparib e bevacizumab nel modello organotipico abbinato (misurato come percentuale di cellule morte rispetto al numero totale di cellule). Si valuterà se questo approccio sarà in grado di predire la risposta al PARPi nelle pazienti con carcinoma ovarico</w:t>
            </w:r>
          </w:p>
          <w:p w14:paraId="6FA756A9" w14:textId="77777777" w:rsidR="001A5AD1" w:rsidRPr="0065093D" w:rsidRDefault="001A5AD1" w:rsidP="0065093D">
            <w:pPr>
              <w:widowControl w:val="0"/>
              <w:autoSpaceDE w:val="0"/>
              <w:autoSpaceDN w:val="0"/>
              <w:adjustRightInd w:val="0"/>
              <w:spacing w:after="0" w:line="240" w:lineRule="auto"/>
              <w:rPr>
                <w:rFonts w:cstheme="minorHAnsi"/>
                <w:u w:val="single"/>
                <w:lang w:eastAsia="it-IT"/>
              </w:rPr>
            </w:pPr>
            <w:r w:rsidRPr="0065093D">
              <w:rPr>
                <w:rFonts w:cstheme="minorHAnsi"/>
                <w:i/>
                <w:u w:val="single"/>
              </w:rPr>
              <w:t>Analisi esplorative</w:t>
            </w:r>
          </w:p>
          <w:p w14:paraId="01B48C0E" w14:textId="77777777" w:rsidR="001A5AD1"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 xml:space="preserve">I campioni di tessuto tumorale primario saranno analizzati con un test HRD sviluppato internamente per confrontare i risultati di questo test accademico con quello commerciale (Myriad Mychoice CDxPlus). </w:t>
            </w:r>
          </w:p>
          <w:p w14:paraId="066DB5E7" w14:textId="77777777" w:rsidR="001A5AD1" w:rsidRPr="0065093D" w:rsidRDefault="001A5AD1" w:rsidP="0065093D">
            <w:pPr>
              <w:widowControl w:val="0"/>
              <w:autoSpaceDE w:val="0"/>
              <w:autoSpaceDN w:val="0"/>
              <w:adjustRightInd w:val="0"/>
              <w:spacing w:after="0" w:line="240" w:lineRule="auto"/>
              <w:rPr>
                <w:rFonts w:cstheme="minorHAnsi"/>
                <w:u w:val="single"/>
              </w:rPr>
            </w:pPr>
            <w:r w:rsidRPr="0065093D">
              <w:rPr>
                <w:rFonts w:cstheme="minorHAnsi"/>
                <w:u w:val="single"/>
              </w:rPr>
              <w:t>Biobanca</w:t>
            </w:r>
          </w:p>
          <w:p w14:paraId="0C11DFE3" w14:textId="39E816F8" w:rsidR="00CA3BA2" w:rsidRPr="0065093D" w:rsidRDefault="001A5AD1" w:rsidP="0065093D">
            <w:pPr>
              <w:widowControl w:val="0"/>
              <w:autoSpaceDE w:val="0"/>
              <w:autoSpaceDN w:val="0"/>
              <w:adjustRightInd w:val="0"/>
              <w:spacing w:after="0" w:line="240" w:lineRule="auto"/>
              <w:rPr>
                <w:rFonts w:cstheme="minorHAnsi"/>
              </w:rPr>
            </w:pPr>
            <w:r w:rsidRPr="0065093D">
              <w:rPr>
                <w:rFonts w:cstheme="minorHAnsi"/>
              </w:rPr>
              <w:t>I campioni residui (tessuto, sangue e plasma), dopo le analisi previste in questo protocollo, saranno conservati presso la biobanca dell’Istituto Mario Negri per ulteriori analisi finalizzate a valutare nuovi biomarcatori prognostici o predittivi.</w:t>
            </w:r>
          </w:p>
        </w:tc>
      </w:tr>
      <w:tr w:rsidR="00CA3BA2" w:rsidRPr="00294C64" w14:paraId="7D5FDF9A" w14:textId="77777777" w:rsidTr="0065093D">
        <w:trPr>
          <w:trHeight w:val="227"/>
        </w:trPr>
        <w:tc>
          <w:tcPr>
            <w:tcW w:w="2721" w:type="dxa"/>
          </w:tcPr>
          <w:p w14:paraId="714A0C0E" w14:textId="77777777" w:rsidR="00CA3BA2" w:rsidRPr="00294C64" w:rsidRDefault="00CA3BA2" w:rsidP="0065093D">
            <w:pPr>
              <w:spacing w:after="0" w:line="240" w:lineRule="auto"/>
              <w:rPr>
                <w:rFonts w:cstheme="minorHAnsi"/>
                <w:b/>
                <w:bCs/>
              </w:rPr>
            </w:pPr>
            <w:r w:rsidRPr="00294C64">
              <w:rPr>
                <w:rFonts w:cstheme="minorHAnsi"/>
                <w:b/>
                <w:bCs/>
              </w:rPr>
              <w:t xml:space="preserve">Criteri di inclusione/esclusione </w:t>
            </w:r>
          </w:p>
        </w:tc>
        <w:tc>
          <w:tcPr>
            <w:tcW w:w="7030" w:type="dxa"/>
          </w:tcPr>
          <w:p w14:paraId="51EE6C8B" w14:textId="77777777" w:rsidR="00294C64" w:rsidRPr="0065093D" w:rsidRDefault="00294C64" w:rsidP="0065093D">
            <w:pPr>
              <w:spacing w:after="0" w:line="240" w:lineRule="auto"/>
              <w:rPr>
                <w:rFonts w:cstheme="minorHAnsi"/>
                <w:color w:val="000000"/>
                <w:u w:val="single"/>
                <w:shd w:val="clear" w:color="auto" w:fill="FFFFFF"/>
                <w:lang w:eastAsia="it-IT"/>
              </w:rPr>
            </w:pPr>
            <w:r w:rsidRPr="0065093D">
              <w:rPr>
                <w:rFonts w:cstheme="minorHAnsi"/>
                <w:i/>
                <w:u w:val="single"/>
              </w:rPr>
              <w:t>Studio di fase IV- step 1 (trattamento chemioterapico)</w:t>
            </w:r>
          </w:p>
          <w:p w14:paraId="42C6F0EE" w14:textId="77777777" w:rsidR="00294C64" w:rsidRPr="0065093D" w:rsidRDefault="00294C64" w:rsidP="0065093D">
            <w:pPr>
              <w:keepNext/>
              <w:spacing w:after="0" w:line="240" w:lineRule="auto"/>
              <w:outlineLvl w:val="2"/>
              <w:rPr>
                <w:rFonts w:cstheme="minorHAnsi"/>
                <w:b/>
                <w:bCs/>
              </w:rPr>
            </w:pPr>
            <w:r w:rsidRPr="0065093D">
              <w:rPr>
                <w:rFonts w:cstheme="minorHAnsi"/>
                <w:b/>
                <w:bCs/>
              </w:rPr>
              <w:t>Criteri di inclusione</w:t>
            </w:r>
          </w:p>
          <w:p w14:paraId="6515AB88"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Firma del consenso informato. </w:t>
            </w:r>
          </w:p>
          <w:p w14:paraId="0B626EC7"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La paziente deve avere un’età di almeno 18 anni al momento della firma del consenso informato.</w:t>
            </w:r>
          </w:p>
          <w:p w14:paraId="5A40911F"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Nuova diagnosi di carcinoma ovarico epiteliale, peritoneale primario e/o delle tube di falloppio di alto grado. </w:t>
            </w:r>
          </w:p>
          <w:p w14:paraId="7A0C4161"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Malattia in stadio avanzato (FIGO stage III-IV).</w:t>
            </w:r>
          </w:p>
          <w:p w14:paraId="43350E64"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Deve essere disponibile un campione tumorale fissato in formalina e incluso in paraffina (Formalin-fixed paraffin-embedded, FFPE) per il test centralizzato dello stato HRD (Myriad Mychoice CDx Plus). Se non è disponibile una conferma scritta della disponibilità di un campione tumorale di archivio, prima dell’inclusione in studio, la paziente non è eleggibile.</w:t>
            </w:r>
          </w:p>
          <w:p w14:paraId="6575D862"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La paziente deve risultare idonea a ricevere una chemioterapia a base di platino in combinazione al bevacizumab.</w:t>
            </w:r>
          </w:p>
          <w:p w14:paraId="74FB216F"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La paziente deve avere una normale funzionalità d’organo e del midollo osseo i cui valori devono essere misurati prima della somministrazione della chemioterapia a base di platino in combinazione al bevacizumab, </w:t>
            </w:r>
          </w:p>
          <w:p w14:paraId="613E8680"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Valori di pressione arteriosa nella norma o ipertensione adeguatamente trattata e controllata (sistolica ≤ 140 mmHg e/o diastolica ≤ 90 mmHg.</w:t>
            </w:r>
          </w:p>
          <w:p w14:paraId="36BABAFC"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Eastern Cooperative Oncology Group (ECOG) performance status 0-1</w:t>
            </w:r>
          </w:p>
          <w:p w14:paraId="34A43143" w14:textId="77777777" w:rsidR="00294C64" w:rsidRPr="0065093D" w:rsidRDefault="00294C64" w:rsidP="0065093D">
            <w:pPr>
              <w:pStyle w:val="Paragrafoelenco"/>
              <w:numPr>
                <w:ilvl w:val="0"/>
                <w:numId w:val="8"/>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Aspettativa di vita ≥ 16 settimane</w:t>
            </w:r>
          </w:p>
          <w:p w14:paraId="1A029768" w14:textId="77777777" w:rsidR="00294C64" w:rsidRPr="0065093D" w:rsidRDefault="00294C64" w:rsidP="0065093D">
            <w:pPr>
              <w:keepNext/>
              <w:spacing w:after="0" w:line="240" w:lineRule="auto"/>
              <w:outlineLvl w:val="2"/>
              <w:rPr>
                <w:rFonts w:cstheme="minorHAnsi"/>
                <w:b/>
              </w:rPr>
            </w:pPr>
            <w:r w:rsidRPr="0065093D">
              <w:rPr>
                <w:rFonts w:cstheme="minorHAnsi"/>
                <w:b/>
              </w:rPr>
              <w:t>Criteri di esclusione</w:t>
            </w:r>
          </w:p>
          <w:p w14:paraId="70772FDE"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Qualsiasi trattamento precedente con PARP inibitori, includendo Olaparib.</w:t>
            </w:r>
          </w:p>
          <w:p w14:paraId="2774559B"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Pazienti con sindrome mielodisplasitca/leucemia mieloide acuta o con caratteristiche che possano far sospettare tali sindromi.</w:t>
            </w:r>
          </w:p>
          <w:p w14:paraId="3504DBD3"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Pazienti con metastasi cerebrali sintomatiche non controllate. Non è richiesta una valutazione radiologica per confermare l'assenza di metastasi cerebrali.</w:t>
            </w:r>
          </w:p>
          <w:p w14:paraId="1671F031"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Pazienti considerati a rischio a causa di un disturbo medico grave e non controllato, di una malattia sistemica non maligna o di un'infezione attiva e non controllata. Gli esempi includono, ma non sono limitati a: aritmia ventricolare non controllata, infarto del miocardio recente (nei 3 mesi precedenti), disturbo convulsivo maggiore non controllato, compressione instabile del midollo spinale, sindrome della vena cava superiore, estesa malattia polmonare bilaterale interstiziale dopo valutazione tomografica computerizzata ad alta risoluzione o qualsiasi disturbo psichiatrico che possa interferire con il processo di ottenimento del consenso informato. </w:t>
            </w:r>
          </w:p>
          <w:p w14:paraId="2C1846AB"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Pazienti incapaci di assumere farmaci per via orale e pazienti con disturbi gastrointestinali che possono interferire con l'assorbimento del farmaco in studio. </w:t>
            </w:r>
          </w:p>
          <w:p w14:paraId="3A5BD0CF"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Pazienti immunocompromessi come ad esempio pazienti sierologicamente positive al virus dell’immunodeficienza umana (HIV- Human Immunodeficiency Virus).</w:t>
            </w:r>
          </w:p>
          <w:p w14:paraId="6F666200"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Pazienti con epatite attiva (es. Epatite B o C). </w:t>
            </w:r>
          </w:p>
          <w:p w14:paraId="45CA7ACF"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Pregresso trapianto allogenico di midollo osseo o doppio trapianto di sangue del cordone ombelicale.</w:t>
            </w:r>
          </w:p>
          <w:p w14:paraId="03D624C1" w14:textId="77777777" w:rsidR="00294C64" w:rsidRPr="0065093D" w:rsidRDefault="00294C64" w:rsidP="0065093D">
            <w:pPr>
              <w:pStyle w:val="Paragrafoelenco"/>
              <w:numPr>
                <w:ilvl w:val="0"/>
                <w:numId w:val="11"/>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Giudizio dello sperimentatore secondo il quale la paziente non dovrebbe partecipare allo studio nel caso in cui sia improbabile che possa rispettare le procedure, le restrizioni e i requisiti dello studio stesso.</w:t>
            </w:r>
          </w:p>
          <w:p w14:paraId="494CB384" w14:textId="77777777" w:rsidR="00294C64" w:rsidRPr="0065093D" w:rsidRDefault="00294C64" w:rsidP="0065093D">
            <w:pPr>
              <w:widowControl w:val="0"/>
              <w:autoSpaceDE w:val="0"/>
              <w:autoSpaceDN w:val="0"/>
              <w:adjustRightInd w:val="0"/>
              <w:spacing w:after="0" w:line="240" w:lineRule="auto"/>
              <w:rPr>
                <w:rFonts w:cstheme="minorHAnsi"/>
                <w:i/>
                <w:u w:val="single"/>
              </w:rPr>
            </w:pPr>
            <w:r w:rsidRPr="0065093D">
              <w:rPr>
                <w:rFonts w:cstheme="minorHAnsi"/>
                <w:i/>
                <w:u w:val="single"/>
              </w:rPr>
              <w:t xml:space="preserve">Studio di fase IV- step2 (trattamento di mantenimento) </w:t>
            </w:r>
          </w:p>
          <w:p w14:paraId="1E8F99A9" w14:textId="77777777" w:rsidR="00294C64" w:rsidRPr="0065093D" w:rsidRDefault="00294C64" w:rsidP="0065093D">
            <w:pPr>
              <w:widowControl w:val="0"/>
              <w:autoSpaceDE w:val="0"/>
              <w:autoSpaceDN w:val="0"/>
              <w:adjustRightInd w:val="0"/>
              <w:spacing w:after="0" w:line="240" w:lineRule="auto"/>
              <w:rPr>
                <w:rFonts w:cstheme="minorHAnsi"/>
              </w:rPr>
            </w:pPr>
            <w:r w:rsidRPr="0065093D">
              <w:rPr>
                <w:rFonts w:cstheme="minorHAnsi"/>
              </w:rPr>
              <w:t xml:space="preserve">Le pazienti che sono in risposta completa o parziale dopo chemioterapia in prima linea a base di platino più bevacizumab e con tumore HRD-positivo secondo la valutazione Myriad Mychoice CDx Plus (inclusi tumori con mutazione BRCA1-2), saranno candidate ad assumere la terapia con olaparib in aggiunta a bevacizumab se soddisfano i seguenti criteri: </w:t>
            </w:r>
          </w:p>
          <w:p w14:paraId="06069F8C" w14:textId="77777777" w:rsidR="00294C64" w:rsidRPr="0065093D" w:rsidRDefault="00294C64" w:rsidP="0065093D">
            <w:pPr>
              <w:keepNext/>
              <w:spacing w:after="0" w:line="240" w:lineRule="auto"/>
              <w:outlineLvl w:val="2"/>
              <w:rPr>
                <w:rFonts w:cstheme="minorHAnsi"/>
                <w:b/>
              </w:rPr>
            </w:pPr>
            <w:r w:rsidRPr="0065093D">
              <w:rPr>
                <w:rFonts w:cstheme="minorHAnsi"/>
                <w:b/>
              </w:rPr>
              <w:t>Criteri di inclusione</w:t>
            </w:r>
          </w:p>
          <w:p w14:paraId="33F3D69B" w14:textId="7679AEED" w:rsidR="00294C64" w:rsidRPr="00CD5E78" w:rsidRDefault="00294C64" w:rsidP="007B4A9E">
            <w:pPr>
              <w:pStyle w:val="Paragrafoelenco"/>
              <w:numPr>
                <w:ilvl w:val="0"/>
                <w:numId w:val="10"/>
              </w:numPr>
              <w:spacing w:before="0" w:after="0" w:line="240" w:lineRule="auto"/>
              <w:ind w:left="298" w:hanging="298"/>
              <w:rPr>
                <w:rFonts w:asciiTheme="minorHAnsi" w:hAnsiTheme="minorHAnsi" w:cstheme="minorHAnsi"/>
                <w:sz w:val="22"/>
                <w:szCs w:val="22"/>
                <w:lang w:val="it-IT"/>
              </w:rPr>
            </w:pPr>
            <w:r w:rsidRPr="00CD5E78">
              <w:rPr>
                <w:rFonts w:asciiTheme="minorHAnsi" w:eastAsia="Calibri" w:hAnsiTheme="minorHAnsi" w:cstheme="minorHAnsi"/>
                <w:sz w:val="22"/>
                <w:szCs w:val="22"/>
                <w:lang w:val="it-IT"/>
              </w:rPr>
              <w:t>La paziente deve aver completato la prima linea di chemioterapia a base di platino</w:t>
            </w:r>
            <w:r w:rsidR="00CD5E78" w:rsidRPr="00CD5E78">
              <w:rPr>
                <w:rFonts w:asciiTheme="minorHAnsi" w:eastAsia="Calibri" w:hAnsiTheme="minorHAnsi" w:cstheme="minorHAnsi"/>
                <w:sz w:val="22"/>
                <w:szCs w:val="22"/>
                <w:lang w:val="it-IT"/>
              </w:rPr>
              <w:t>.</w:t>
            </w:r>
          </w:p>
          <w:p w14:paraId="2C7CD8E5" w14:textId="77777777" w:rsidR="00294C64" w:rsidRPr="0065093D" w:rsidRDefault="00294C64" w:rsidP="0065093D">
            <w:pPr>
              <w:pStyle w:val="Paragrafoelenco"/>
              <w:numPr>
                <w:ilvl w:val="0"/>
                <w:numId w:val="10"/>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La paziente deve essere in trattamento con bevacizumab (deve aver ricevuto almeno un ciclo di bevacizumab in combinazione con la prima linea di chemioterapia). La dose di bevacizumab deve essere stata somministrata secondo la schedula di 15mg/kg ogni 3 settimane.</w:t>
            </w:r>
          </w:p>
          <w:p w14:paraId="4C9981D6" w14:textId="77777777" w:rsidR="00294C64" w:rsidRPr="0065093D" w:rsidRDefault="00294C64" w:rsidP="0065093D">
            <w:pPr>
              <w:pStyle w:val="Paragrafoelenco"/>
              <w:numPr>
                <w:ilvl w:val="0"/>
                <w:numId w:val="10"/>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La paziente deve essere senza evidenza di malattia (NED-No Evidence of Disease) oppure in risposta completa (CR-Complete Response) o in risposta parziale (PR-Partial Response) dopo la prima linea di trattamento chemioterapico.   Le pazienti che non presentano malattia valutabile dopo una chirurgia iniziale di citoriduzione saranno considerate NED se la malattia non è progredita al termine della chemioterapia di prima linea e dell'intervento chirurgico. Le pazienti con malattia misurabile o valutabile dopo l'intervento chirurgico iniziale o all'inizio della chemioterapia neoadiuvante e la cui malattia non è più presente alla fine della chemioterapia e dell’intervento chirurgico saranno considerate in risposta completa (CR).</w:t>
            </w:r>
          </w:p>
          <w:p w14:paraId="3816D4DF" w14:textId="77777777" w:rsidR="00294C64" w:rsidRPr="0065093D" w:rsidRDefault="00294C64" w:rsidP="0065093D">
            <w:pPr>
              <w:pStyle w:val="Paragrafoelenco"/>
              <w:numPr>
                <w:ilvl w:val="0"/>
                <w:numId w:val="10"/>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La paziente deve avere una diagnosi, confermata istologicamente, di carcinoma ovarico epiteliale, delle tube di falloppio o peritoneale primario di alto grado e HRD-positivo in accordo alla valutazione del test Myriad Mychoice CDx Plus.</w:t>
            </w:r>
          </w:p>
          <w:p w14:paraId="5EF13897" w14:textId="77777777" w:rsidR="00294C64" w:rsidRPr="0065093D" w:rsidRDefault="00294C64" w:rsidP="0065093D">
            <w:pPr>
              <w:pStyle w:val="Paragrafoelenco"/>
              <w:numPr>
                <w:ilvl w:val="0"/>
                <w:numId w:val="10"/>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La paziente deve avere una normale funzionalità d’organo e del midollo osseo i cui valori devono essere misurati entro 28 giorni prima della somministrazione di olaparib</w:t>
            </w:r>
          </w:p>
          <w:p w14:paraId="6714E0EE" w14:textId="77777777" w:rsidR="00294C64" w:rsidRPr="0065093D" w:rsidRDefault="00294C64" w:rsidP="0065093D">
            <w:pPr>
              <w:pStyle w:val="Paragrafoelenco"/>
              <w:numPr>
                <w:ilvl w:val="0"/>
                <w:numId w:val="10"/>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Valori di pressione arteriosa nella norma o ipertensione adeguatamente trattata e controllata (sistolica ≤ 140 mmHg e/o diastolica ≤ 90 mmHg</w:t>
            </w:r>
          </w:p>
          <w:p w14:paraId="2705EFC4" w14:textId="77777777" w:rsidR="00294C64" w:rsidRPr="0065093D" w:rsidRDefault="00294C64" w:rsidP="0065093D">
            <w:pPr>
              <w:pStyle w:val="Paragrafoelenco"/>
              <w:numPr>
                <w:ilvl w:val="0"/>
                <w:numId w:val="10"/>
              </w:numPr>
              <w:spacing w:before="0" w:after="0" w:line="240" w:lineRule="auto"/>
              <w:ind w:left="298" w:hanging="298"/>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Eastern Cooperative Oncology Group (ECOG) performance status 0-1</w:t>
            </w:r>
          </w:p>
          <w:p w14:paraId="29CBFBDC" w14:textId="77777777" w:rsidR="00294C64" w:rsidRPr="0065093D" w:rsidRDefault="00294C64" w:rsidP="0065093D">
            <w:pPr>
              <w:pStyle w:val="Paragrafoelenco"/>
              <w:numPr>
                <w:ilvl w:val="0"/>
                <w:numId w:val="10"/>
              </w:numPr>
              <w:spacing w:before="0" w:after="0" w:line="240" w:lineRule="auto"/>
              <w:ind w:left="298" w:hanging="298"/>
              <w:rPr>
                <w:rFonts w:asciiTheme="minorHAnsi" w:hAnsiTheme="minorHAnsi" w:cstheme="minorHAnsi"/>
                <w:sz w:val="22"/>
                <w:szCs w:val="22"/>
                <w:lang w:val="it-IT"/>
              </w:rPr>
            </w:pPr>
            <w:r w:rsidRPr="0065093D">
              <w:rPr>
                <w:rFonts w:asciiTheme="minorHAnsi" w:eastAsia="Calibri" w:hAnsiTheme="minorHAnsi" w:cstheme="minorHAnsi"/>
                <w:sz w:val="22"/>
                <w:szCs w:val="22"/>
                <w:lang w:val="it-IT"/>
              </w:rPr>
              <w:t>Aspettativa di vita ≥ 16 settimane</w:t>
            </w:r>
          </w:p>
          <w:p w14:paraId="1189EF9B" w14:textId="77777777" w:rsidR="00294C64" w:rsidRPr="0065093D" w:rsidRDefault="00294C64" w:rsidP="0065093D">
            <w:pPr>
              <w:pStyle w:val="Paragrafoelenco"/>
              <w:numPr>
                <w:ilvl w:val="0"/>
                <w:numId w:val="10"/>
              </w:numPr>
              <w:tabs>
                <w:tab w:val="left" w:pos="298"/>
              </w:tabs>
              <w:spacing w:before="0" w:after="0" w:line="240" w:lineRule="auto"/>
              <w:ind w:hanging="720"/>
              <w:rPr>
                <w:rFonts w:asciiTheme="minorHAnsi" w:hAnsiTheme="minorHAnsi" w:cstheme="minorHAnsi"/>
                <w:sz w:val="22"/>
                <w:szCs w:val="22"/>
                <w:lang w:val="it-IT"/>
              </w:rPr>
            </w:pPr>
            <w:r w:rsidRPr="0065093D">
              <w:rPr>
                <w:rFonts w:asciiTheme="minorHAnsi" w:eastAsia="Calibri" w:hAnsiTheme="minorHAnsi" w:cstheme="minorHAnsi"/>
                <w:sz w:val="22"/>
                <w:szCs w:val="22"/>
                <w:lang w:val="it-IT"/>
              </w:rPr>
              <w:t xml:space="preserve">Postmenopausa o evidenza di stato di non gravidanza per le donne in età fertile: test di gravidanza su siero o urina negativo entro 28 giorni dall’inizio del trattamento in studio e risultato confermato il giorno di inizio del trattamento con olaparib. La postmenopausa è definita come: </w:t>
            </w:r>
          </w:p>
          <w:p w14:paraId="73B9C820" w14:textId="77777777" w:rsidR="00294C64" w:rsidRPr="0065093D" w:rsidRDefault="00294C64" w:rsidP="00CD5E78">
            <w:pPr>
              <w:pStyle w:val="Paragrafoelenco"/>
              <w:numPr>
                <w:ilvl w:val="0"/>
                <w:numId w:val="5"/>
              </w:numPr>
              <w:spacing w:before="0" w:after="0" w:line="240" w:lineRule="auto"/>
              <w:ind w:left="723" w:hanging="425"/>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Amenorrea per almeno 1 anno dopo l’interruzione di trattamenti ormonali esogeni; </w:t>
            </w:r>
          </w:p>
          <w:p w14:paraId="393F6405" w14:textId="77777777" w:rsidR="00294C64" w:rsidRPr="0065093D" w:rsidRDefault="00294C64" w:rsidP="00CD5E78">
            <w:pPr>
              <w:pStyle w:val="Paragrafoelenco"/>
              <w:numPr>
                <w:ilvl w:val="0"/>
                <w:numId w:val="5"/>
              </w:numPr>
              <w:spacing w:before="0" w:after="0" w:line="240" w:lineRule="auto"/>
              <w:ind w:left="723" w:hanging="425"/>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 xml:space="preserve">Livelli di ormone luteinizzante (LH) e follicolo stimolante (FSH) nel range post-menopausale per le pazienti minori di 50 anni; </w:t>
            </w:r>
          </w:p>
          <w:p w14:paraId="4FECD8F9" w14:textId="77777777" w:rsidR="00294C64" w:rsidRPr="0065093D" w:rsidRDefault="00294C64" w:rsidP="00CD5E78">
            <w:pPr>
              <w:pStyle w:val="Paragrafoelenco"/>
              <w:numPr>
                <w:ilvl w:val="0"/>
                <w:numId w:val="5"/>
              </w:numPr>
              <w:spacing w:before="0" w:after="0" w:line="240" w:lineRule="auto"/>
              <w:ind w:left="723"/>
              <w:rPr>
                <w:rFonts w:asciiTheme="minorHAnsi" w:eastAsia="Calibri" w:hAnsiTheme="minorHAnsi" w:cstheme="minorHAnsi"/>
                <w:sz w:val="22"/>
                <w:szCs w:val="22"/>
                <w:lang w:val="it-IT"/>
              </w:rPr>
            </w:pPr>
            <w:r w:rsidRPr="0065093D">
              <w:rPr>
                <w:rFonts w:asciiTheme="minorHAnsi" w:eastAsia="Calibri" w:hAnsiTheme="minorHAnsi" w:cstheme="minorHAnsi"/>
                <w:sz w:val="22"/>
                <w:szCs w:val="22"/>
                <w:lang w:val="it-IT"/>
              </w:rPr>
              <w:t>Ooforectomia indotta da radiazioni con ultime mestruazioni &gt;1 anno;</w:t>
            </w:r>
          </w:p>
          <w:p w14:paraId="4C4CBB66" w14:textId="77777777" w:rsidR="00294C64" w:rsidRPr="0065093D" w:rsidRDefault="00294C64" w:rsidP="00CD5E78">
            <w:pPr>
              <w:pStyle w:val="Paragrafoelenco"/>
              <w:numPr>
                <w:ilvl w:val="0"/>
                <w:numId w:val="5"/>
              </w:numPr>
              <w:spacing w:before="0" w:after="0" w:line="240" w:lineRule="auto"/>
              <w:ind w:left="723" w:hanging="425"/>
              <w:rPr>
                <w:rFonts w:asciiTheme="minorHAnsi" w:eastAsia="Calibri" w:hAnsiTheme="minorHAnsi" w:cstheme="minorHAnsi"/>
                <w:sz w:val="22"/>
                <w:szCs w:val="22"/>
                <w:lang w:val="it-IT"/>
              </w:rPr>
            </w:pPr>
            <w:bookmarkStart w:id="0" w:name="_GoBack"/>
            <w:bookmarkEnd w:id="0"/>
            <w:r w:rsidRPr="0065093D">
              <w:rPr>
                <w:rFonts w:asciiTheme="minorHAnsi" w:eastAsia="Calibri" w:hAnsiTheme="minorHAnsi" w:cstheme="minorHAnsi"/>
                <w:sz w:val="22"/>
                <w:szCs w:val="22"/>
                <w:lang w:val="it-IT"/>
              </w:rPr>
              <w:t xml:space="preserve">Menopausa indotta da chemioterapia con un intervallo &gt;1 anno dalle ultime mestruazioni; </w:t>
            </w:r>
          </w:p>
          <w:p w14:paraId="36BE03F5" w14:textId="77777777" w:rsidR="00294C64" w:rsidRPr="0065093D" w:rsidRDefault="00294C64" w:rsidP="00CD5E78">
            <w:pPr>
              <w:pStyle w:val="Paragrafoelenco"/>
              <w:numPr>
                <w:ilvl w:val="0"/>
                <w:numId w:val="5"/>
              </w:numPr>
              <w:spacing w:before="0" w:after="0" w:line="240" w:lineRule="auto"/>
              <w:ind w:left="723" w:hanging="284"/>
              <w:rPr>
                <w:rFonts w:asciiTheme="minorHAnsi" w:hAnsiTheme="minorHAnsi" w:cstheme="minorHAnsi"/>
                <w:sz w:val="22"/>
                <w:szCs w:val="22"/>
                <w:lang w:val="it-IT"/>
              </w:rPr>
            </w:pPr>
            <w:r w:rsidRPr="0065093D">
              <w:rPr>
                <w:rFonts w:asciiTheme="minorHAnsi" w:eastAsia="Calibri" w:hAnsiTheme="minorHAnsi" w:cstheme="minorHAnsi"/>
                <w:sz w:val="22"/>
                <w:szCs w:val="22"/>
                <w:lang w:val="it-IT"/>
              </w:rPr>
              <w:t>Sterilizzazione chirurgica (ooforectomia bilaterale o isterectomia)</w:t>
            </w:r>
          </w:p>
          <w:p w14:paraId="32AAA7EB" w14:textId="77777777" w:rsidR="00294C64" w:rsidRPr="0065093D" w:rsidRDefault="00294C64" w:rsidP="0065093D">
            <w:pPr>
              <w:keepNext/>
              <w:spacing w:after="0" w:line="240" w:lineRule="auto"/>
              <w:outlineLvl w:val="2"/>
              <w:rPr>
                <w:rFonts w:cstheme="minorHAnsi"/>
                <w:b/>
              </w:rPr>
            </w:pPr>
            <w:r w:rsidRPr="0065093D">
              <w:rPr>
                <w:rFonts w:cstheme="minorHAnsi"/>
                <w:b/>
              </w:rPr>
              <w:t>Criteri di esclusione</w:t>
            </w:r>
          </w:p>
          <w:p w14:paraId="57F8BB03"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Tossicità persistenti (Common Terminology Criteria for Adverse Event (CTCAE) di grado 2 relazionate a precedenti trattamenti antitumorali, ad esclusione dell’alopecia</w:t>
            </w:r>
          </w:p>
          <w:p w14:paraId="7C2B375B"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Pazienti con sindrome mielodisplasitca/leucemia mieloide acuta o con caratteristiche che possano far sospettare tali sindromi.</w:t>
            </w:r>
          </w:p>
          <w:p w14:paraId="20F79306"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 xml:space="preserve">Pazienti con metastasi cerebrali sintomatiche non controllate. Non è richiesta una valutazione radiologica per confermare l'assenza di metastasi cerebrali. La paziente può ricevere una dose stabile di corticosteroidi prima e durante lo studio, a condizione che la terapia sia iniziata almeno 4 settimane prima del trattamento. Pazienti con compressione del midollo spinale a meno che non si ritenga che abbiano ricevuto un trattamento definitivo e abbiano malattia clinicamente stabile da almeno 28 giorni. </w:t>
            </w:r>
          </w:p>
          <w:p w14:paraId="54D0157C"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 xml:space="preserve">Pazienti considerati a rischio a causa di un disturbo medico grave e non controllato, di una malattia sistemica non maligna o di un'infezione attiva e non controllata. Gli esempi includono, ma non sono limitati a: aritmia ventricolare non controllata, infarto del miocardio recente (nei 3 mesi precedenti), disturbo convulsivo maggiore non controllato, compressione instabile del midollo spinale, sindrome della vena cava superiore, estesa malattia polmonare bilaterale interstiziale dopo valutazione tomografica computerizzata ad alta risoluzione o qualsiasi disturbo psichiatrico che possa interferire con il processo di ottenimento del consenso informato. </w:t>
            </w:r>
          </w:p>
          <w:p w14:paraId="4DD51AC0"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 xml:space="preserve">Pazienti incapaci di assumere farmaci per via orale e pazienti con disturbi gastrointestinali che possono interferire con l'assorbimento del farmaco in studio. </w:t>
            </w:r>
          </w:p>
          <w:p w14:paraId="03701663"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Pazienti immunocompromessi come ad esempio pazienti sierologicamente positive al virus dell’immunodeficienza umana (HIV- Human Immunodeficiency Virus).</w:t>
            </w:r>
          </w:p>
          <w:p w14:paraId="7E17973F"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 xml:space="preserve">Pazienti con epatite attiva (es. Epatite B o C). </w:t>
            </w:r>
          </w:p>
          <w:p w14:paraId="6A12506F"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Precedente trattamento con inibitori di PARP, includendo Olaparib.</w:t>
            </w:r>
          </w:p>
          <w:p w14:paraId="5BA4989A"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iCs/>
                <w:sz w:val="22"/>
                <w:szCs w:val="22"/>
                <w:lang w:val="it-IT"/>
              </w:rPr>
              <w:t>Pazienti che hanno ricevuto una chemioterapia o una radioterapia sistemica (a meno che non si trattasse di terapia palliativa) nelle 3 settimane precedenti alla somministrazione di olaparib.</w:t>
            </w:r>
          </w:p>
          <w:p w14:paraId="547F2376"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Intervento chirurgico maggiore entro 2 settimane dall'inizio del trattamento con olaparib e le pazienti devono essersi riprese da qualsiasi postumo di un intervento chirurgico maggiore.</w:t>
            </w:r>
          </w:p>
          <w:p w14:paraId="2C8045B4"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Somministrazione simultanea di altri farmaci chemioterapici e di qualsiasi altra terapia antitumorale o terapia ormonale anti-neoplastica, o simultanea radioterapia durante il periodo di trattamento in studio (è consentita la terapia ormonale sostitutiva così come gli antiemetici steroidei).</w:t>
            </w:r>
          </w:p>
          <w:p w14:paraId="4FFECA14"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Uso concomitante di sostanze note per essere potenti inibitori del CYP3A (es. itraconazolo, telitromicina, claritromicina, inibitori della proteasi potenziati con ritonavir o cobicistat, indinavir, saquinavir, nelfinavir, boceprevir, telaprevir) o moderati inibitori del CYP3A (es. ciprofloxacina, eritromicina, diltiazem, fluconazolo, verapamil). Il periodo di washout necessario prima di iniziare olaparib è di 2 settimane.</w:t>
            </w:r>
          </w:p>
          <w:p w14:paraId="7C9B4A3D"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Uso concomitante di forti induttori del CYP3A (es. fenobarbital, enzalutamide, fenitoina, rifampicina, rifabutina, rifapentina, carbamazepina, nevirapina e Hypericum perforatum) o moderati (es. bosentan, efavirenz, modafinil). Il periodo di washout necessario prima di iniziare olaparib è di 5 settimane per enzalutamide o fenobarbital e 3 settimane per altri agenti.</w:t>
            </w:r>
          </w:p>
          <w:p w14:paraId="6C7BF25B"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Pregresso trapianto allogenico di midollo osseo o doppio trapianto di sangue del cordone ombelicale.</w:t>
            </w:r>
          </w:p>
          <w:p w14:paraId="6A0D71FC"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Pazienti con nota ipersensibilità a olaparib o ad uno qualsiasi degli eccipienti del prodotto.</w:t>
            </w:r>
          </w:p>
          <w:p w14:paraId="20DAC42A" w14:textId="77777777" w:rsidR="00294C64" w:rsidRPr="0065093D" w:rsidRDefault="00294C64" w:rsidP="0065093D">
            <w:pPr>
              <w:pStyle w:val="Paragrafoelenco"/>
              <w:numPr>
                <w:ilvl w:val="0"/>
                <w:numId w:val="9"/>
              </w:numPr>
              <w:tabs>
                <w:tab w:val="left" w:pos="599"/>
              </w:tabs>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Evidenza di qualsiasi altra malattia, disfunzione metabolica, segni o risultati di laboratorio che inducano un ragionevole sospetto di una malattia o condizione che possa controindicare l'uso di olaparib o esponga la paziente ad alto rischio di complicanze correlate al trattamento.</w:t>
            </w:r>
          </w:p>
          <w:p w14:paraId="03A43D27"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 xml:space="preserve">Giudizio dello sperimentatore secondo il quale la paziente non dovrebbe partecipare allo studio nel caso in cui sia improbabile che possa rispettare le procedure, le restrizioni e i requisiti dello studio stesso. </w:t>
            </w:r>
          </w:p>
          <w:p w14:paraId="4ECAB5FE" w14:textId="77777777" w:rsidR="00294C64" w:rsidRPr="0065093D" w:rsidRDefault="00294C64" w:rsidP="0065093D">
            <w:pPr>
              <w:pStyle w:val="Paragrafoelenco"/>
              <w:numPr>
                <w:ilvl w:val="0"/>
                <w:numId w:val="9"/>
              </w:numPr>
              <w:spacing w:before="0" w:after="0" w:line="240" w:lineRule="auto"/>
              <w:rPr>
                <w:rFonts w:asciiTheme="minorHAnsi" w:hAnsiTheme="minorHAnsi" w:cstheme="minorHAnsi"/>
                <w:sz w:val="22"/>
                <w:szCs w:val="22"/>
                <w:lang w:val="it-IT"/>
              </w:rPr>
            </w:pPr>
            <w:r w:rsidRPr="0065093D">
              <w:rPr>
                <w:rFonts w:asciiTheme="minorHAnsi" w:hAnsiTheme="minorHAnsi" w:cstheme="minorHAnsi"/>
                <w:sz w:val="22"/>
                <w:szCs w:val="22"/>
                <w:lang w:val="it-IT"/>
              </w:rPr>
              <w:t xml:space="preserve">Allattamento al seno e donne in gravidanza. </w:t>
            </w:r>
          </w:p>
          <w:p w14:paraId="51B4AD49" w14:textId="77777777" w:rsidR="00294C64" w:rsidRPr="0065093D" w:rsidRDefault="00294C64" w:rsidP="0065093D">
            <w:pPr>
              <w:widowControl w:val="0"/>
              <w:autoSpaceDE w:val="0"/>
              <w:autoSpaceDN w:val="0"/>
              <w:adjustRightInd w:val="0"/>
              <w:spacing w:after="0" w:line="240" w:lineRule="auto"/>
              <w:rPr>
                <w:rFonts w:cstheme="minorHAnsi"/>
                <w:i/>
              </w:rPr>
            </w:pPr>
            <w:r w:rsidRPr="0065093D">
              <w:rPr>
                <w:rFonts w:cstheme="minorHAnsi"/>
                <w:i/>
              </w:rPr>
              <w:t>Eleggibilità allo studio Traslazionale no.2.</w:t>
            </w:r>
          </w:p>
          <w:p w14:paraId="58EF510C" w14:textId="112093D5" w:rsidR="00294C64" w:rsidRPr="0065093D" w:rsidRDefault="00294C64" w:rsidP="0065093D">
            <w:pPr>
              <w:spacing w:after="0" w:line="240" w:lineRule="auto"/>
              <w:rPr>
                <w:rFonts w:cstheme="minorHAnsi"/>
              </w:rPr>
            </w:pPr>
            <w:r w:rsidRPr="0065093D">
              <w:rPr>
                <w:rFonts w:cstheme="minorHAnsi"/>
              </w:rPr>
              <w:t>Le pazienti incluse nello studio clinico, da determinati centri selezionati, possono essere considerati eleggibili anche allo studio traslazionale n.2 se soddisfano i seguenti criteri:</w:t>
            </w:r>
          </w:p>
          <w:p w14:paraId="70051212" w14:textId="77777777" w:rsidR="00294C64" w:rsidRPr="0065093D" w:rsidRDefault="00294C64" w:rsidP="0065093D">
            <w:pPr>
              <w:keepNext/>
              <w:spacing w:after="0" w:line="240" w:lineRule="auto"/>
              <w:outlineLvl w:val="2"/>
              <w:rPr>
                <w:rFonts w:cstheme="minorHAnsi"/>
                <w:b/>
              </w:rPr>
            </w:pPr>
            <w:r w:rsidRPr="0065093D">
              <w:rPr>
                <w:rFonts w:cstheme="minorHAnsi"/>
                <w:b/>
              </w:rPr>
              <w:t>Criteri di inclusione</w:t>
            </w:r>
          </w:p>
          <w:p w14:paraId="0D933F24" w14:textId="77777777" w:rsidR="00294C64" w:rsidRPr="0065093D" w:rsidRDefault="00294C64" w:rsidP="0065093D">
            <w:pPr>
              <w:pStyle w:val="Paragrafoelenco"/>
              <w:numPr>
                <w:ilvl w:val="0"/>
                <w:numId w:val="6"/>
              </w:numPr>
              <w:spacing w:before="0" w:after="0" w:line="240" w:lineRule="auto"/>
              <w:rPr>
                <w:rFonts w:asciiTheme="minorHAnsi" w:hAnsiTheme="minorHAnsi" w:cstheme="minorHAnsi"/>
                <w:sz w:val="22"/>
                <w:szCs w:val="22"/>
                <w:shd w:val="clear" w:color="auto" w:fill="FFFFFF"/>
                <w:lang w:val="it-IT" w:eastAsia="it-IT"/>
              </w:rPr>
            </w:pPr>
            <w:r w:rsidRPr="0065093D">
              <w:rPr>
                <w:rFonts w:asciiTheme="minorHAnsi" w:hAnsiTheme="minorHAnsi" w:cstheme="minorHAnsi"/>
                <w:sz w:val="22"/>
                <w:szCs w:val="22"/>
                <w:shd w:val="clear" w:color="auto" w:fill="FFFFFF"/>
                <w:lang w:val="it-IT" w:eastAsia="it-IT"/>
              </w:rPr>
              <w:t>Pazienti incluse nello studio da un centro selezionato.</w:t>
            </w:r>
          </w:p>
          <w:p w14:paraId="4B2D6464" w14:textId="061A7740" w:rsidR="009E62CB" w:rsidRPr="0065093D" w:rsidRDefault="00294C64" w:rsidP="0065093D">
            <w:pPr>
              <w:pStyle w:val="Paragrafoelenco"/>
              <w:numPr>
                <w:ilvl w:val="0"/>
                <w:numId w:val="6"/>
              </w:numPr>
              <w:spacing w:before="0" w:after="0" w:line="240" w:lineRule="auto"/>
              <w:rPr>
                <w:rFonts w:asciiTheme="minorHAnsi" w:hAnsiTheme="minorHAnsi" w:cstheme="minorHAnsi"/>
                <w:sz w:val="22"/>
                <w:szCs w:val="22"/>
              </w:rPr>
            </w:pPr>
            <w:r w:rsidRPr="0065093D">
              <w:rPr>
                <w:rFonts w:asciiTheme="minorHAnsi" w:hAnsiTheme="minorHAnsi" w:cstheme="minorHAnsi"/>
                <w:sz w:val="22"/>
                <w:szCs w:val="22"/>
                <w:shd w:val="clear" w:color="auto" w:fill="FFFFFF"/>
                <w:lang w:val="it-IT" w:eastAsia="it-IT"/>
              </w:rPr>
              <w:t>Deve essere disponibile un campione di tessuto tumorale, ottenuto dall’intervento di citoridu</w:t>
            </w:r>
            <w:r w:rsidR="009E62CB" w:rsidRPr="0065093D">
              <w:rPr>
                <w:rFonts w:asciiTheme="minorHAnsi" w:hAnsiTheme="minorHAnsi" w:cstheme="minorHAnsi"/>
                <w:sz w:val="22"/>
                <w:szCs w:val="22"/>
                <w:shd w:val="clear" w:color="auto" w:fill="FFFFFF"/>
                <w:lang w:val="it-IT" w:eastAsia="it-IT"/>
              </w:rPr>
              <w:t>zione (primario o intervallare)</w:t>
            </w:r>
            <w:r w:rsidRPr="0065093D">
              <w:rPr>
                <w:rFonts w:asciiTheme="minorHAnsi" w:hAnsiTheme="minorHAnsi" w:cstheme="minorHAnsi"/>
                <w:sz w:val="22"/>
                <w:szCs w:val="22"/>
                <w:shd w:val="clear" w:color="auto" w:fill="FFFFFF"/>
                <w:lang w:val="it-IT" w:eastAsia="it-IT"/>
              </w:rPr>
              <w:t xml:space="preserve">, da inviare al laboratorio responsabile della generazione del modello organotipico. </w:t>
            </w:r>
          </w:p>
          <w:p w14:paraId="497A8C29" w14:textId="5D70CB20" w:rsidR="00CA3BA2" w:rsidRPr="0065093D" w:rsidRDefault="00294C64" w:rsidP="0065093D">
            <w:pPr>
              <w:spacing w:after="0" w:line="240" w:lineRule="auto"/>
              <w:rPr>
                <w:rFonts w:cstheme="minorHAnsi"/>
              </w:rPr>
            </w:pPr>
            <w:r w:rsidRPr="0065093D">
              <w:rPr>
                <w:rFonts w:cstheme="minorHAnsi"/>
                <w:shd w:val="clear" w:color="auto" w:fill="FFFFFF"/>
                <w:lang w:eastAsia="it-IT"/>
              </w:rPr>
              <w:t>I campioni, preparati in accordo a istruzioni specifiche, dovranno essere inviati al laboratorio centrale entro 24 ore della chirurgia.</w:t>
            </w:r>
          </w:p>
        </w:tc>
      </w:tr>
    </w:tbl>
    <w:p w14:paraId="7A4DB40E" w14:textId="77777777" w:rsidR="00CA3BA2" w:rsidRDefault="00CA3BA2" w:rsidP="005C7179">
      <w:pPr>
        <w:jc w:val="both"/>
      </w:pPr>
    </w:p>
    <w:sectPr w:rsidR="00CA3B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C4A"/>
    <w:multiLevelType w:val="hybridMultilevel"/>
    <w:tmpl w:val="0140360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E906945"/>
    <w:multiLevelType w:val="hybridMultilevel"/>
    <w:tmpl w:val="E9642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FE1781"/>
    <w:multiLevelType w:val="hybridMultilevel"/>
    <w:tmpl w:val="2E5A7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1D3936"/>
    <w:multiLevelType w:val="singleLevel"/>
    <w:tmpl w:val="DB8625F8"/>
    <w:lvl w:ilvl="0">
      <w:start w:val="1"/>
      <w:numFmt w:val="decimal"/>
      <w:lvlRestart w:val="0"/>
      <w:pStyle w:val="A-ListNumber"/>
      <w:lvlText w:val="%1."/>
      <w:lvlJc w:val="left"/>
      <w:pPr>
        <w:tabs>
          <w:tab w:val="num" w:pos="994"/>
        </w:tabs>
        <w:ind w:left="994" w:hanging="994"/>
      </w:pPr>
    </w:lvl>
  </w:abstractNum>
  <w:abstractNum w:abstractNumId="4" w15:restartNumberingAfterBreak="0">
    <w:nsid w:val="3FC94644"/>
    <w:multiLevelType w:val="hybridMultilevel"/>
    <w:tmpl w:val="2E5A7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B607CE"/>
    <w:multiLevelType w:val="hybridMultilevel"/>
    <w:tmpl w:val="44D64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C87FEC"/>
    <w:multiLevelType w:val="hybridMultilevel"/>
    <w:tmpl w:val="2E5A7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6D0C6A"/>
    <w:multiLevelType w:val="hybridMultilevel"/>
    <w:tmpl w:val="2E5A7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C711800"/>
    <w:multiLevelType w:val="hybridMultilevel"/>
    <w:tmpl w:val="B6EC2BCA"/>
    <w:lvl w:ilvl="0" w:tplc="7FD8E0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B12D71"/>
    <w:multiLevelType w:val="hybridMultilevel"/>
    <w:tmpl w:val="AB2EA1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C7C1C7E"/>
    <w:multiLevelType w:val="hybridMultilevel"/>
    <w:tmpl w:val="75FA8E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2"/>
  </w:num>
  <w:num w:numId="5">
    <w:abstractNumId w:val="0"/>
  </w:num>
  <w:num w:numId="6">
    <w:abstractNumId w:val="1"/>
  </w:num>
  <w:num w:numId="7">
    <w:abstractNumId w:val="5"/>
  </w:num>
  <w:num w:numId="8">
    <w:abstractNumId w:val="7"/>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dirty"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A2"/>
    <w:rsid w:val="001A5AD1"/>
    <w:rsid w:val="00294C64"/>
    <w:rsid w:val="00396462"/>
    <w:rsid w:val="005C7179"/>
    <w:rsid w:val="0065093D"/>
    <w:rsid w:val="009E62CB"/>
    <w:rsid w:val="00CA3BA2"/>
    <w:rsid w:val="00CD5E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780A"/>
  <w15:chartTrackingRefBased/>
  <w15:docId w15:val="{30CF48B6-8BB8-4312-9076-FE4127FB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3BA2"/>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link w:val="ParagrafoelencoCarattere"/>
    <w:uiPriority w:val="34"/>
    <w:qFormat/>
    <w:rsid w:val="001A5AD1"/>
    <w:pPr>
      <w:spacing w:before="14" w:after="144" w:line="300" w:lineRule="atLeast"/>
      <w:ind w:left="720"/>
      <w:contextualSpacing/>
    </w:pPr>
    <w:rPr>
      <w:rFonts w:ascii="Times New Roman" w:eastAsia="Times New Roman" w:hAnsi="Times New Roman" w:cs="Times New Roman"/>
      <w:sz w:val="24"/>
      <w:szCs w:val="24"/>
      <w:lang w:val="en-GB"/>
    </w:rPr>
  </w:style>
  <w:style w:type="character" w:customStyle="1" w:styleId="ParagrafoelencoCarattere">
    <w:name w:val="Paragrafo elenco Carattere"/>
    <w:basedOn w:val="Carpredefinitoparagrafo"/>
    <w:link w:val="Paragrafoelenco"/>
    <w:uiPriority w:val="34"/>
    <w:locked/>
    <w:rsid w:val="001A5AD1"/>
    <w:rPr>
      <w:rFonts w:ascii="Times New Roman" w:eastAsia="Times New Roman" w:hAnsi="Times New Roman" w:cs="Times New Roman"/>
      <w:sz w:val="24"/>
      <w:szCs w:val="24"/>
      <w:lang w:val="en-GB"/>
    </w:rPr>
  </w:style>
  <w:style w:type="paragraph" w:customStyle="1" w:styleId="A-ListNumber">
    <w:name w:val="A-List Number"/>
    <w:rsid w:val="00294C64"/>
    <w:pPr>
      <w:numPr>
        <w:numId w:val="3"/>
      </w:numPr>
      <w:spacing w:after="240" w:line="280" w:lineRule="atLeast"/>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3188</Words>
  <Characters>18174</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di giacomo</dc:creator>
  <cp:keywords/>
  <dc:description/>
  <cp:lastModifiedBy>Emanuele Manuel Negri</cp:lastModifiedBy>
  <cp:revision>5</cp:revision>
  <dcterms:created xsi:type="dcterms:W3CDTF">2023-03-07T14:38:00Z</dcterms:created>
  <dcterms:modified xsi:type="dcterms:W3CDTF">2023-03-13T10:25:00Z</dcterms:modified>
</cp:coreProperties>
</file>