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51"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1"/>
        <w:gridCol w:w="7030"/>
      </w:tblGrid>
      <w:tr w:rsidR="00914C9C" w:rsidRPr="00CA3BA2" w14:paraId="3BB5E624" w14:textId="77777777" w:rsidTr="00A56A25">
        <w:trPr>
          <w:trHeight w:val="283"/>
        </w:trPr>
        <w:tc>
          <w:tcPr>
            <w:tcW w:w="2721" w:type="dxa"/>
          </w:tcPr>
          <w:p w14:paraId="40E06077" w14:textId="64654DEB" w:rsidR="00CA3BA2" w:rsidRPr="00CA3BA2" w:rsidRDefault="00CA3BA2" w:rsidP="00A56A25">
            <w:pPr>
              <w:spacing w:after="0" w:line="240" w:lineRule="auto"/>
            </w:pPr>
            <w:r w:rsidRPr="00CA3BA2">
              <w:rPr>
                <w:b/>
                <w:bCs/>
              </w:rPr>
              <w:t>Titolo dello studio</w:t>
            </w:r>
          </w:p>
        </w:tc>
        <w:tc>
          <w:tcPr>
            <w:tcW w:w="7030" w:type="dxa"/>
          </w:tcPr>
          <w:p w14:paraId="442388A8" w14:textId="77777777" w:rsidR="00CA3BA2" w:rsidRDefault="00DA12BE" w:rsidP="00A56A25">
            <w:pPr>
              <w:spacing w:after="0" w:line="240" w:lineRule="auto"/>
            </w:pPr>
            <w:r w:rsidRPr="00DA12BE">
              <w:t>LEPRE Trial</w:t>
            </w:r>
            <w:r>
              <w:t xml:space="preserve">. </w:t>
            </w:r>
            <w:proofErr w:type="spellStart"/>
            <w:r w:rsidRPr="00DA12BE">
              <w:rPr>
                <w:u w:val="single"/>
              </w:rPr>
              <w:t>L</w:t>
            </w:r>
            <w:r w:rsidRPr="00DA12BE">
              <w:t>etrozole</w:t>
            </w:r>
            <w:proofErr w:type="spellEnd"/>
            <w:r w:rsidRPr="00DA12BE">
              <w:t xml:space="preserve"> for </w:t>
            </w:r>
            <w:proofErr w:type="spellStart"/>
            <w:r w:rsidRPr="00DA12BE">
              <w:rPr>
                <w:u w:val="single"/>
              </w:rPr>
              <w:t>E</w:t>
            </w:r>
            <w:r w:rsidRPr="00DA12BE">
              <w:t>strogen</w:t>
            </w:r>
            <w:proofErr w:type="spellEnd"/>
            <w:r w:rsidRPr="00DA12BE">
              <w:t>/</w:t>
            </w:r>
            <w:r w:rsidRPr="00DA12BE">
              <w:rPr>
                <w:u w:val="single"/>
              </w:rPr>
              <w:t>P</w:t>
            </w:r>
            <w:r w:rsidRPr="00DA12BE">
              <w:t xml:space="preserve">rogesterone </w:t>
            </w:r>
            <w:proofErr w:type="spellStart"/>
            <w:r w:rsidRPr="00DA12BE">
              <w:rPr>
                <w:u w:val="single"/>
              </w:rPr>
              <w:t>R</w:t>
            </w:r>
            <w:r w:rsidRPr="00DA12BE">
              <w:t>eceptor</w:t>
            </w:r>
            <w:proofErr w:type="spellEnd"/>
            <w:r w:rsidRPr="00DA12BE">
              <w:t xml:space="preserve"> positive </w:t>
            </w:r>
            <w:proofErr w:type="spellStart"/>
            <w:r w:rsidRPr="00DA12BE">
              <w:t>low</w:t>
            </w:r>
            <w:proofErr w:type="spellEnd"/>
            <w:r w:rsidRPr="00DA12BE">
              <w:t xml:space="preserve">-grade </w:t>
            </w:r>
            <w:proofErr w:type="spellStart"/>
            <w:r w:rsidRPr="00DA12BE">
              <w:t>serous</w:t>
            </w:r>
            <w:proofErr w:type="spellEnd"/>
            <w:r w:rsidRPr="00DA12BE">
              <w:t xml:space="preserve"> </w:t>
            </w:r>
            <w:proofErr w:type="spellStart"/>
            <w:r w:rsidRPr="00DA12BE">
              <w:rPr>
                <w:u w:val="single"/>
              </w:rPr>
              <w:t>E</w:t>
            </w:r>
            <w:r w:rsidRPr="00DA12BE">
              <w:t>pithelial</w:t>
            </w:r>
            <w:proofErr w:type="spellEnd"/>
            <w:r w:rsidRPr="00DA12BE">
              <w:t xml:space="preserve"> </w:t>
            </w:r>
            <w:proofErr w:type="spellStart"/>
            <w:r w:rsidRPr="00DA12BE">
              <w:t>ovarian</w:t>
            </w:r>
            <w:proofErr w:type="spellEnd"/>
            <w:r w:rsidRPr="00DA12BE">
              <w:t xml:space="preserve"> </w:t>
            </w:r>
            <w:proofErr w:type="spellStart"/>
            <w:r w:rsidRPr="00DA12BE">
              <w:t>cancer</w:t>
            </w:r>
            <w:proofErr w:type="spellEnd"/>
            <w:r w:rsidRPr="00DA12BE">
              <w:t xml:space="preserve">. A </w:t>
            </w:r>
            <w:proofErr w:type="spellStart"/>
            <w:r w:rsidRPr="00DA12BE">
              <w:t>randomized</w:t>
            </w:r>
            <w:proofErr w:type="spellEnd"/>
            <w:r w:rsidRPr="00DA12BE">
              <w:t xml:space="preserve"> </w:t>
            </w:r>
            <w:proofErr w:type="spellStart"/>
            <w:r w:rsidRPr="00DA12BE">
              <w:t>phase</w:t>
            </w:r>
            <w:proofErr w:type="spellEnd"/>
            <w:r w:rsidRPr="00DA12BE">
              <w:t xml:space="preserve"> III trial.</w:t>
            </w:r>
          </w:p>
          <w:p w14:paraId="7AE198F5" w14:textId="4F4A3D07" w:rsidR="00EB604E" w:rsidRPr="00CA3BA2" w:rsidRDefault="00EB604E" w:rsidP="00A56A25">
            <w:pPr>
              <w:spacing w:after="0" w:line="240" w:lineRule="auto"/>
            </w:pPr>
            <w:r w:rsidRPr="00B650AC">
              <w:rPr>
                <w:bCs/>
              </w:rPr>
              <w:t>Studio finanziato da Fondazione AIRC per la Ricerca sul Cancro</w:t>
            </w:r>
            <w:r>
              <w:rPr>
                <w:bCs/>
              </w:rPr>
              <w:t>.</w:t>
            </w:r>
          </w:p>
        </w:tc>
      </w:tr>
      <w:tr w:rsidR="00914C9C" w:rsidRPr="00CA3BA2" w14:paraId="15C63AE3" w14:textId="77777777" w:rsidTr="00A56A25">
        <w:trPr>
          <w:trHeight w:val="283"/>
        </w:trPr>
        <w:tc>
          <w:tcPr>
            <w:tcW w:w="2721" w:type="dxa"/>
          </w:tcPr>
          <w:p w14:paraId="4C4AC5B9" w14:textId="1D6B2543" w:rsidR="00CA3BA2" w:rsidRPr="00CA3BA2" w:rsidRDefault="00CA3BA2" w:rsidP="00A56A25">
            <w:pPr>
              <w:spacing w:after="0" w:line="240" w:lineRule="auto"/>
            </w:pPr>
            <w:r w:rsidRPr="00CA3BA2">
              <w:rPr>
                <w:b/>
                <w:bCs/>
              </w:rPr>
              <w:t>Versione e data del protocollo</w:t>
            </w:r>
          </w:p>
        </w:tc>
        <w:tc>
          <w:tcPr>
            <w:tcW w:w="7030" w:type="dxa"/>
          </w:tcPr>
          <w:p w14:paraId="6B903175" w14:textId="57A3A0D4" w:rsidR="00CA3BA2" w:rsidRPr="00CA3BA2" w:rsidRDefault="00DA12BE" w:rsidP="00A56A25">
            <w:pPr>
              <w:spacing w:after="0" w:line="240" w:lineRule="auto"/>
              <w:jc w:val="both"/>
            </w:pPr>
            <w:r>
              <w:t>Versione 2.0 del 20/12/2021</w:t>
            </w:r>
          </w:p>
        </w:tc>
      </w:tr>
      <w:tr w:rsidR="00914C9C" w:rsidRPr="00CA3BA2" w14:paraId="27BF9170" w14:textId="77777777" w:rsidTr="00A56A25">
        <w:trPr>
          <w:trHeight w:val="283"/>
        </w:trPr>
        <w:tc>
          <w:tcPr>
            <w:tcW w:w="2721" w:type="dxa"/>
          </w:tcPr>
          <w:p w14:paraId="523C628E" w14:textId="77777777" w:rsidR="00CA3BA2" w:rsidRDefault="00DA12BE" w:rsidP="00A56A25">
            <w:pPr>
              <w:spacing w:after="0" w:line="240" w:lineRule="auto"/>
              <w:rPr>
                <w:b/>
                <w:bCs/>
              </w:rPr>
            </w:pPr>
            <w:r>
              <w:rPr>
                <w:b/>
                <w:bCs/>
              </w:rPr>
              <w:t>Pazienti in studio</w:t>
            </w:r>
          </w:p>
          <w:p w14:paraId="70CDC0CC" w14:textId="6C477433" w:rsidR="003A4CA6" w:rsidRPr="00CA3BA2" w:rsidRDefault="003A4CA6" w:rsidP="00A56A25">
            <w:pPr>
              <w:spacing w:after="0" w:line="240" w:lineRule="auto"/>
            </w:pPr>
            <w:r>
              <w:rPr>
                <w:b/>
                <w:bCs/>
              </w:rPr>
              <w:t xml:space="preserve">(Al 15 </w:t>
            </w:r>
            <w:proofErr w:type="spellStart"/>
            <w:r>
              <w:rPr>
                <w:b/>
                <w:bCs/>
              </w:rPr>
              <w:t>feb</w:t>
            </w:r>
            <w:proofErr w:type="spellEnd"/>
            <w:r>
              <w:rPr>
                <w:b/>
                <w:bCs/>
              </w:rPr>
              <w:t xml:space="preserve"> 2023)</w:t>
            </w:r>
          </w:p>
        </w:tc>
        <w:tc>
          <w:tcPr>
            <w:tcW w:w="7030" w:type="dxa"/>
          </w:tcPr>
          <w:p w14:paraId="206A4401" w14:textId="39CA3671" w:rsidR="00CA3BA2" w:rsidRPr="00CA3BA2" w:rsidRDefault="003A4CA6" w:rsidP="00A56A25">
            <w:pPr>
              <w:spacing w:after="0" w:line="240" w:lineRule="auto"/>
              <w:jc w:val="both"/>
            </w:pPr>
            <w:r>
              <w:t>2</w:t>
            </w:r>
          </w:p>
        </w:tc>
      </w:tr>
      <w:tr w:rsidR="00914C9C" w:rsidRPr="00CA3BA2" w14:paraId="5E3F029B" w14:textId="77777777" w:rsidTr="00A56A25">
        <w:trPr>
          <w:trHeight w:val="283"/>
        </w:trPr>
        <w:tc>
          <w:tcPr>
            <w:tcW w:w="2721" w:type="dxa"/>
          </w:tcPr>
          <w:p w14:paraId="7B3B3C91" w14:textId="1EF10468" w:rsidR="00CA3BA2" w:rsidRPr="00CA3BA2" w:rsidRDefault="00DA12BE" w:rsidP="00A56A25">
            <w:pPr>
              <w:spacing w:after="0" w:line="240" w:lineRule="auto"/>
            </w:pPr>
            <w:r>
              <w:rPr>
                <w:b/>
                <w:bCs/>
              </w:rPr>
              <w:t>Gruppo di intervento</w:t>
            </w:r>
          </w:p>
        </w:tc>
        <w:tc>
          <w:tcPr>
            <w:tcW w:w="7030" w:type="dxa"/>
          </w:tcPr>
          <w:p w14:paraId="2A8F8070" w14:textId="1753A78E" w:rsidR="00CA3BA2" w:rsidRPr="00B650AC" w:rsidRDefault="00B650AC" w:rsidP="00A5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theme="minorHAnsi"/>
              </w:rPr>
            </w:pPr>
            <w:proofErr w:type="spellStart"/>
            <w:r>
              <w:rPr>
                <w:rFonts w:cstheme="minorHAnsi"/>
                <w:lang w:eastAsia="it-IT"/>
              </w:rPr>
              <w:t>L</w:t>
            </w:r>
            <w:r w:rsidRPr="00840923">
              <w:rPr>
                <w:rFonts w:cstheme="minorHAnsi"/>
                <w:lang w:eastAsia="it-IT"/>
              </w:rPr>
              <w:t>etrozolo</w:t>
            </w:r>
            <w:proofErr w:type="spellEnd"/>
            <w:r w:rsidRPr="00840923">
              <w:rPr>
                <w:rFonts w:cstheme="minorHAnsi"/>
                <w:lang w:eastAsia="it-IT"/>
              </w:rPr>
              <w:t xml:space="preserve"> 2,5 mg in compresse orali, da assumere una volta al giorno fino alla progressione della malattia (PD), tossicità inaccettabile, decisione del medico o della paziente di ritirarsi, o per un massimo di 60 mesi, a seconda di quale evento avvenga prima</w:t>
            </w:r>
            <w:r w:rsidRPr="00840923">
              <w:rPr>
                <w:rFonts w:cstheme="minorHAnsi"/>
              </w:rPr>
              <w:t>.</w:t>
            </w:r>
          </w:p>
        </w:tc>
      </w:tr>
      <w:tr w:rsidR="00914C9C" w:rsidRPr="00CA3BA2" w14:paraId="4CA9E9DC" w14:textId="77777777" w:rsidTr="00A56A25">
        <w:trPr>
          <w:trHeight w:val="283"/>
        </w:trPr>
        <w:tc>
          <w:tcPr>
            <w:tcW w:w="2721" w:type="dxa"/>
          </w:tcPr>
          <w:p w14:paraId="3253DDCF" w14:textId="5DCDE55F" w:rsidR="00CA3BA2" w:rsidRPr="00CA3BA2" w:rsidRDefault="00DA12BE" w:rsidP="00A56A25">
            <w:pPr>
              <w:spacing w:after="0" w:line="240" w:lineRule="auto"/>
            </w:pPr>
            <w:r>
              <w:rPr>
                <w:b/>
                <w:bCs/>
              </w:rPr>
              <w:t>Gruppo di controllo</w:t>
            </w:r>
          </w:p>
        </w:tc>
        <w:tc>
          <w:tcPr>
            <w:tcW w:w="7030" w:type="dxa"/>
          </w:tcPr>
          <w:p w14:paraId="56711E72" w14:textId="30C76146" w:rsidR="00CA3BA2" w:rsidRPr="00CA3BA2" w:rsidRDefault="00B650AC" w:rsidP="00A56A25">
            <w:pPr>
              <w:spacing w:after="0" w:line="240" w:lineRule="auto"/>
              <w:jc w:val="both"/>
            </w:pPr>
            <w:r>
              <w:rPr>
                <w:rFonts w:cstheme="minorHAnsi"/>
                <w:lang w:eastAsia="it-IT"/>
              </w:rPr>
              <w:t>T</w:t>
            </w:r>
            <w:r w:rsidRPr="00840923">
              <w:rPr>
                <w:rFonts w:cstheme="minorHAnsi"/>
                <w:lang w:eastAsia="it-IT"/>
              </w:rPr>
              <w:t xml:space="preserve">rattamento chemioterapico con </w:t>
            </w:r>
            <w:proofErr w:type="spellStart"/>
            <w:r w:rsidRPr="00840923">
              <w:rPr>
                <w:rFonts w:cstheme="minorHAnsi"/>
                <w:lang w:eastAsia="it-IT"/>
              </w:rPr>
              <w:t>carboplatino</w:t>
            </w:r>
            <w:proofErr w:type="spellEnd"/>
            <w:r w:rsidRPr="00840923">
              <w:rPr>
                <w:rFonts w:cstheme="minorHAnsi"/>
                <w:lang w:eastAsia="it-IT"/>
              </w:rPr>
              <w:t xml:space="preserve"> (AUC 5) e </w:t>
            </w:r>
            <w:proofErr w:type="spellStart"/>
            <w:r w:rsidRPr="00840923">
              <w:rPr>
                <w:rFonts w:cstheme="minorHAnsi"/>
                <w:lang w:eastAsia="it-IT"/>
              </w:rPr>
              <w:t>paclitaxel</w:t>
            </w:r>
            <w:proofErr w:type="spellEnd"/>
            <w:r w:rsidRPr="00840923">
              <w:rPr>
                <w:rFonts w:cstheme="minorHAnsi"/>
                <w:lang w:eastAsia="it-IT"/>
              </w:rPr>
              <w:t xml:space="preserve"> (175 mg/m2) ogni 21 giorni fino a 6-8 cicli, PD, tossicità inaccettabile o decisione del medico o della paziente di ritirarsi, a seconda di quale evento avvenga prima</w:t>
            </w:r>
            <w:r w:rsidRPr="00840923">
              <w:rPr>
                <w:rFonts w:cstheme="minorHAnsi"/>
              </w:rPr>
              <w:t>.</w:t>
            </w:r>
          </w:p>
        </w:tc>
      </w:tr>
      <w:tr w:rsidR="00914C9C" w:rsidRPr="00CA3BA2" w14:paraId="4839FD74" w14:textId="77777777" w:rsidTr="00A56A25">
        <w:trPr>
          <w:trHeight w:val="283"/>
        </w:trPr>
        <w:tc>
          <w:tcPr>
            <w:tcW w:w="2721" w:type="dxa"/>
          </w:tcPr>
          <w:p w14:paraId="2D7D6CB9" w14:textId="003C3359" w:rsidR="00CA3BA2" w:rsidRPr="00CA3BA2" w:rsidRDefault="00DA12BE" w:rsidP="00A56A25">
            <w:pPr>
              <w:spacing w:after="0" w:line="240" w:lineRule="auto"/>
            </w:pPr>
            <w:r>
              <w:rPr>
                <w:b/>
                <w:bCs/>
              </w:rPr>
              <w:t>Promotore</w:t>
            </w:r>
          </w:p>
        </w:tc>
        <w:tc>
          <w:tcPr>
            <w:tcW w:w="7030" w:type="dxa"/>
          </w:tcPr>
          <w:p w14:paraId="4DBE5856" w14:textId="77777777" w:rsidR="00B650AC" w:rsidRPr="00B650AC" w:rsidRDefault="00B650AC" w:rsidP="00A56A25">
            <w:pPr>
              <w:spacing w:after="0" w:line="240" w:lineRule="auto"/>
              <w:rPr>
                <w:bCs/>
              </w:rPr>
            </w:pPr>
            <w:r w:rsidRPr="00B650AC">
              <w:rPr>
                <w:bCs/>
              </w:rPr>
              <w:t>Ente Ospedaliero Ospedali Galliera</w:t>
            </w:r>
          </w:p>
          <w:p w14:paraId="1A4FCC3D" w14:textId="77777777" w:rsidR="00B650AC" w:rsidRPr="00B650AC" w:rsidRDefault="00B650AC" w:rsidP="00A56A25">
            <w:pPr>
              <w:spacing w:after="0" w:line="240" w:lineRule="auto"/>
              <w:rPr>
                <w:bCs/>
              </w:rPr>
            </w:pPr>
            <w:r w:rsidRPr="00B650AC">
              <w:rPr>
                <w:bCs/>
              </w:rPr>
              <w:t>Mura delle Cappuccine, 14</w:t>
            </w:r>
            <w:r>
              <w:rPr>
                <w:bCs/>
              </w:rPr>
              <w:t xml:space="preserve">. </w:t>
            </w:r>
            <w:r w:rsidRPr="00B650AC">
              <w:rPr>
                <w:bCs/>
              </w:rPr>
              <w:t xml:space="preserve">16128, Genoa - </w:t>
            </w:r>
            <w:proofErr w:type="spellStart"/>
            <w:r w:rsidRPr="00B650AC">
              <w:rPr>
                <w:bCs/>
              </w:rPr>
              <w:t>Italy</w:t>
            </w:r>
            <w:proofErr w:type="spellEnd"/>
          </w:p>
          <w:p w14:paraId="0B2FEA3E" w14:textId="6CCEBC7B" w:rsidR="00CA3BA2" w:rsidRPr="00CA3BA2" w:rsidRDefault="00B650AC" w:rsidP="00A56A25">
            <w:pPr>
              <w:spacing w:after="0" w:line="240" w:lineRule="auto"/>
            </w:pPr>
            <w:r>
              <w:rPr>
                <w:bCs/>
              </w:rPr>
              <w:t>Investigatore Principale</w:t>
            </w:r>
            <w:r w:rsidRPr="00B650AC">
              <w:rPr>
                <w:bCs/>
              </w:rPr>
              <w:t>:</w:t>
            </w:r>
            <w:r>
              <w:rPr>
                <w:bCs/>
              </w:rPr>
              <w:t xml:space="preserve"> </w:t>
            </w:r>
            <w:r w:rsidRPr="00B650AC">
              <w:rPr>
                <w:bCs/>
              </w:rPr>
              <w:t>Andrea De Censi</w:t>
            </w:r>
          </w:p>
        </w:tc>
      </w:tr>
      <w:tr w:rsidR="00914C9C" w:rsidRPr="00CA3BA2" w14:paraId="3B3E0D64" w14:textId="77777777" w:rsidTr="00A56A25">
        <w:trPr>
          <w:trHeight w:val="283"/>
        </w:trPr>
        <w:tc>
          <w:tcPr>
            <w:tcW w:w="2721" w:type="dxa"/>
          </w:tcPr>
          <w:p w14:paraId="73BD1611" w14:textId="01380BFA" w:rsidR="00CA3BA2" w:rsidRPr="00CA3BA2" w:rsidRDefault="00DA12BE" w:rsidP="00A56A25">
            <w:pPr>
              <w:spacing w:after="0" w:line="240" w:lineRule="auto"/>
            </w:pPr>
            <w:r>
              <w:rPr>
                <w:b/>
                <w:bCs/>
              </w:rPr>
              <w:t>Centro Coordinatore</w:t>
            </w:r>
          </w:p>
        </w:tc>
        <w:tc>
          <w:tcPr>
            <w:tcW w:w="7030" w:type="dxa"/>
          </w:tcPr>
          <w:p w14:paraId="34B990FD" w14:textId="4038415C" w:rsidR="00B650AC" w:rsidRDefault="00B650AC" w:rsidP="00A56A25">
            <w:pPr>
              <w:spacing w:after="0" w:line="240" w:lineRule="auto"/>
              <w:rPr>
                <w:bCs/>
              </w:rPr>
            </w:pPr>
            <w:r>
              <w:rPr>
                <w:bCs/>
              </w:rPr>
              <w:t>S.C. Oncologia Medica</w:t>
            </w:r>
          </w:p>
          <w:p w14:paraId="5CC31EBB" w14:textId="3A825311" w:rsidR="00B650AC" w:rsidRPr="00B650AC" w:rsidRDefault="00B650AC" w:rsidP="00A56A25">
            <w:pPr>
              <w:spacing w:after="0" w:line="240" w:lineRule="auto"/>
              <w:rPr>
                <w:bCs/>
              </w:rPr>
            </w:pPr>
            <w:r w:rsidRPr="00B650AC">
              <w:rPr>
                <w:bCs/>
              </w:rPr>
              <w:t>Ente Ospedaliero Ospedali Galliera</w:t>
            </w:r>
          </w:p>
          <w:p w14:paraId="0407D333" w14:textId="1F988DBD" w:rsidR="00CA3BA2" w:rsidRPr="00B650AC" w:rsidRDefault="00B650AC" w:rsidP="00A56A25">
            <w:pPr>
              <w:spacing w:after="0" w:line="240" w:lineRule="auto"/>
              <w:rPr>
                <w:bCs/>
              </w:rPr>
            </w:pPr>
            <w:r w:rsidRPr="00B650AC">
              <w:rPr>
                <w:bCs/>
              </w:rPr>
              <w:t>Mura delle Cappuccine, 14</w:t>
            </w:r>
            <w:r>
              <w:rPr>
                <w:bCs/>
              </w:rPr>
              <w:t xml:space="preserve">. </w:t>
            </w:r>
            <w:r w:rsidRPr="00B650AC">
              <w:rPr>
                <w:bCs/>
              </w:rPr>
              <w:t xml:space="preserve">16128, Genoa - </w:t>
            </w:r>
            <w:proofErr w:type="spellStart"/>
            <w:r w:rsidRPr="00B650AC">
              <w:rPr>
                <w:bCs/>
              </w:rPr>
              <w:t>Italy</w:t>
            </w:r>
            <w:proofErr w:type="spellEnd"/>
          </w:p>
        </w:tc>
      </w:tr>
      <w:tr w:rsidR="00914C9C" w:rsidRPr="00CA3BA2" w14:paraId="60CC6C5C" w14:textId="77777777" w:rsidTr="00A56A25">
        <w:trPr>
          <w:trHeight w:val="283"/>
        </w:trPr>
        <w:tc>
          <w:tcPr>
            <w:tcW w:w="2721" w:type="dxa"/>
          </w:tcPr>
          <w:p w14:paraId="1A53ECAB" w14:textId="73B93308" w:rsidR="00CA3BA2" w:rsidRPr="00CA3BA2" w:rsidRDefault="00737B18" w:rsidP="00A56A25">
            <w:pPr>
              <w:spacing w:after="0" w:line="240" w:lineRule="auto"/>
            </w:pPr>
            <w:r>
              <w:rPr>
                <w:b/>
                <w:bCs/>
              </w:rPr>
              <w:t xml:space="preserve">Partner nel progetto AIRC </w:t>
            </w:r>
            <w:r w:rsidRPr="00737B18">
              <w:rPr>
                <w:bCs/>
              </w:rPr>
              <w:t>(</w:t>
            </w:r>
            <w:proofErr w:type="spellStart"/>
            <w:r w:rsidR="00DA12BE" w:rsidRPr="00737B18">
              <w:rPr>
                <w:bCs/>
              </w:rPr>
              <w:t>Clinical</w:t>
            </w:r>
            <w:proofErr w:type="spellEnd"/>
            <w:r w:rsidR="00DA12BE" w:rsidRPr="00737B18">
              <w:rPr>
                <w:bCs/>
              </w:rPr>
              <w:t xml:space="preserve"> </w:t>
            </w:r>
            <w:proofErr w:type="spellStart"/>
            <w:r w:rsidR="00DA12BE" w:rsidRPr="00737B18">
              <w:rPr>
                <w:bCs/>
              </w:rPr>
              <w:t>Research</w:t>
            </w:r>
            <w:proofErr w:type="spellEnd"/>
            <w:r w:rsidR="00EB604E" w:rsidRPr="00737B18">
              <w:rPr>
                <w:bCs/>
              </w:rPr>
              <w:t xml:space="preserve"> </w:t>
            </w:r>
            <w:r w:rsidR="00DA12BE" w:rsidRPr="00737B18">
              <w:rPr>
                <w:bCs/>
              </w:rPr>
              <w:t xml:space="preserve">Organization </w:t>
            </w:r>
            <w:r w:rsidRPr="00737B18">
              <w:rPr>
                <w:bCs/>
              </w:rPr>
              <w:t xml:space="preserve">- </w:t>
            </w:r>
            <w:r w:rsidR="00DA12BE" w:rsidRPr="00737B18">
              <w:rPr>
                <w:bCs/>
              </w:rPr>
              <w:t>CRO)</w:t>
            </w:r>
          </w:p>
        </w:tc>
        <w:tc>
          <w:tcPr>
            <w:tcW w:w="7030" w:type="dxa"/>
          </w:tcPr>
          <w:p w14:paraId="37D4D1AC" w14:textId="77777777" w:rsidR="00CA3BA2" w:rsidRDefault="00737B18" w:rsidP="00A56A25">
            <w:pPr>
              <w:spacing w:after="0" w:line="240" w:lineRule="auto"/>
              <w:jc w:val="both"/>
            </w:pPr>
            <w:r>
              <w:t xml:space="preserve">Gruppo </w:t>
            </w:r>
            <w:proofErr w:type="spellStart"/>
            <w:r>
              <w:t>MaNGO</w:t>
            </w:r>
            <w:proofErr w:type="spellEnd"/>
          </w:p>
          <w:p w14:paraId="220AF043" w14:textId="77777777" w:rsidR="00737B18" w:rsidRDefault="00737B18" w:rsidP="00A56A25">
            <w:pPr>
              <w:spacing w:after="0" w:line="240" w:lineRule="auto"/>
              <w:jc w:val="both"/>
            </w:pPr>
            <w:r>
              <w:t>Istituto Mario Negri IRCCS</w:t>
            </w:r>
          </w:p>
          <w:p w14:paraId="20AB258E" w14:textId="2C3DFB9E" w:rsidR="00737B18" w:rsidRPr="00CA3BA2" w:rsidRDefault="00737B18" w:rsidP="00A56A25">
            <w:pPr>
              <w:spacing w:after="0" w:line="240" w:lineRule="auto"/>
              <w:jc w:val="both"/>
            </w:pPr>
            <w:r>
              <w:t>Via Mario Negri 2. 20156 Milano</w:t>
            </w:r>
          </w:p>
        </w:tc>
      </w:tr>
      <w:tr w:rsidR="00914C9C" w:rsidRPr="00CA3BA2" w14:paraId="4CF918B9" w14:textId="77777777" w:rsidTr="00A56A25">
        <w:trPr>
          <w:trHeight w:val="283"/>
        </w:trPr>
        <w:tc>
          <w:tcPr>
            <w:tcW w:w="2721" w:type="dxa"/>
          </w:tcPr>
          <w:p w14:paraId="1D65F2F8" w14:textId="188B6C53" w:rsidR="00CA3BA2" w:rsidRPr="00CA3BA2" w:rsidRDefault="00DA12BE" w:rsidP="00A56A25">
            <w:pPr>
              <w:spacing w:after="0" w:line="240" w:lineRule="auto"/>
            </w:pPr>
            <w:r>
              <w:rPr>
                <w:b/>
                <w:bCs/>
              </w:rPr>
              <w:t>Centri partecipanti</w:t>
            </w:r>
          </w:p>
        </w:tc>
        <w:tc>
          <w:tcPr>
            <w:tcW w:w="7030" w:type="dxa"/>
          </w:tcPr>
          <w:p w14:paraId="6B26DCFF" w14:textId="052E65FD" w:rsidR="00CA3BA2" w:rsidRPr="00CA3BA2" w:rsidRDefault="00B650AC" w:rsidP="00A56A25">
            <w:pPr>
              <w:spacing w:after="0" w:line="240" w:lineRule="auto"/>
              <w:jc w:val="both"/>
            </w:pPr>
            <w:r>
              <w:t>40</w:t>
            </w:r>
          </w:p>
        </w:tc>
      </w:tr>
      <w:tr w:rsidR="00914C9C" w:rsidRPr="00CA3BA2" w14:paraId="0839966E" w14:textId="77777777" w:rsidTr="00A56A25">
        <w:trPr>
          <w:trHeight w:val="283"/>
        </w:trPr>
        <w:tc>
          <w:tcPr>
            <w:tcW w:w="2721" w:type="dxa"/>
          </w:tcPr>
          <w:p w14:paraId="0B36553D" w14:textId="79A92120" w:rsidR="00CA3BA2" w:rsidRPr="00CA3BA2" w:rsidRDefault="00DA12BE" w:rsidP="00A56A25">
            <w:pPr>
              <w:spacing w:after="0" w:line="240" w:lineRule="auto"/>
            </w:pPr>
            <w:r>
              <w:rPr>
                <w:b/>
                <w:bCs/>
              </w:rPr>
              <w:t>Numero di soggetti</w:t>
            </w:r>
          </w:p>
        </w:tc>
        <w:tc>
          <w:tcPr>
            <w:tcW w:w="7030" w:type="dxa"/>
          </w:tcPr>
          <w:p w14:paraId="3E70CB71" w14:textId="1FB33B35" w:rsidR="00CA3BA2" w:rsidRPr="00CA3BA2" w:rsidRDefault="00B650AC" w:rsidP="00A56A25">
            <w:pPr>
              <w:spacing w:after="0" w:line="240" w:lineRule="auto"/>
              <w:jc w:val="both"/>
            </w:pPr>
            <w:r>
              <w:t>132</w:t>
            </w:r>
          </w:p>
        </w:tc>
      </w:tr>
      <w:tr w:rsidR="00914C9C" w:rsidRPr="00CA3BA2" w14:paraId="2237CA64" w14:textId="77777777" w:rsidTr="00A56A25">
        <w:trPr>
          <w:trHeight w:val="283"/>
        </w:trPr>
        <w:tc>
          <w:tcPr>
            <w:tcW w:w="2721" w:type="dxa"/>
          </w:tcPr>
          <w:p w14:paraId="244CAE6A" w14:textId="1404C030" w:rsidR="00CA3BA2" w:rsidRPr="00CA3BA2" w:rsidRDefault="00DA12BE" w:rsidP="00A56A25">
            <w:pPr>
              <w:spacing w:after="0" w:line="240" w:lineRule="auto"/>
            </w:pPr>
            <w:r>
              <w:rPr>
                <w:b/>
                <w:bCs/>
              </w:rPr>
              <w:t>Durata dello studio</w:t>
            </w:r>
          </w:p>
        </w:tc>
        <w:tc>
          <w:tcPr>
            <w:tcW w:w="7030" w:type="dxa"/>
          </w:tcPr>
          <w:p w14:paraId="2CCBD1AE" w14:textId="28D8A0D0" w:rsidR="00CA3BA2" w:rsidRPr="00CA3BA2" w:rsidRDefault="00B650AC" w:rsidP="00A56A25">
            <w:pPr>
              <w:spacing w:after="0" w:line="240" w:lineRule="auto"/>
              <w:jc w:val="both"/>
            </w:pPr>
            <w:r>
              <w:t>5</w:t>
            </w:r>
            <w:r w:rsidR="00EB604E">
              <w:t>4</w:t>
            </w:r>
            <w:r>
              <w:t xml:space="preserve"> </w:t>
            </w:r>
            <w:r w:rsidR="00EB604E">
              <w:t>mesi</w:t>
            </w:r>
          </w:p>
        </w:tc>
      </w:tr>
      <w:tr w:rsidR="00914C9C" w:rsidRPr="00CA3BA2" w14:paraId="47082B7A" w14:textId="77777777" w:rsidTr="00A56A25">
        <w:trPr>
          <w:trHeight w:val="283"/>
        </w:trPr>
        <w:tc>
          <w:tcPr>
            <w:tcW w:w="2721" w:type="dxa"/>
          </w:tcPr>
          <w:p w14:paraId="515C316C" w14:textId="5DA5A339" w:rsidR="00CA3BA2" w:rsidRPr="00CA3BA2" w:rsidRDefault="00DA12BE" w:rsidP="00A56A25">
            <w:pPr>
              <w:spacing w:after="0" w:line="240" w:lineRule="auto"/>
            </w:pPr>
            <w:r>
              <w:rPr>
                <w:b/>
                <w:bCs/>
              </w:rPr>
              <w:t>Periodo di arruolamento</w:t>
            </w:r>
          </w:p>
        </w:tc>
        <w:tc>
          <w:tcPr>
            <w:tcW w:w="7030" w:type="dxa"/>
          </w:tcPr>
          <w:p w14:paraId="58E0E6EE" w14:textId="3D4BF8BE" w:rsidR="00CA3BA2" w:rsidRPr="00CA3BA2" w:rsidRDefault="00B650AC" w:rsidP="00A56A25">
            <w:pPr>
              <w:spacing w:after="0" w:line="240" w:lineRule="auto"/>
              <w:jc w:val="both"/>
            </w:pPr>
            <w:r>
              <w:t>2</w:t>
            </w:r>
            <w:r w:rsidR="00EB604E">
              <w:t>4</w:t>
            </w:r>
            <w:r>
              <w:t xml:space="preserve"> </w:t>
            </w:r>
            <w:r w:rsidR="00EB604E">
              <w:t>mesi</w:t>
            </w:r>
          </w:p>
        </w:tc>
      </w:tr>
      <w:tr w:rsidR="00914C9C" w:rsidRPr="00CA3BA2" w14:paraId="0D42033D" w14:textId="77777777" w:rsidTr="00A56A25">
        <w:trPr>
          <w:trHeight w:val="283"/>
        </w:trPr>
        <w:tc>
          <w:tcPr>
            <w:tcW w:w="2721" w:type="dxa"/>
          </w:tcPr>
          <w:p w14:paraId="1F78BA31" w14:textId="7AE22991" w:rsidR="00CA3BA2" w:rsidRPr="00CA3BA2" w:rsidRDefault="00DA12BE" w:rsidP="00A56A25">
            <w:pPr>
              <w:spacing w:after="0" w:line="240" w:lineRule="auto"/>
            </w:pPr>
            <w:r>
              <w:rPr>
                <w:b/>
                <w:bCs/>
              </w:rPr>
              <w:t>Disegno dello studio</w:t>
            </w:r>
            <w:r w:rsidR="0053144E">
              <w:rPr>
                <w:b/>
                <w:bCs/>
              </w:rPr>
              <w:t xml:space="preserve"> (Sintesi)</w:t>
            </w:r>
          </w:p>
        </w:tc>
        <w:tc>
          <w:tcPr>
            <w:tcW w:w="7030" w:type="dxa"/>
          </w:tcPr>
          <w:p w14:paraId="6C0AAFEE" w14:textId="77777777" w:rsidR="00D2311D" w:rsidRPr="00840923" w:rsidRDefault="00D2311D" w:rsidP="00A5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sidRPr="00840923">
              <w:rPr>
                <w:rFonts w:cstheme="minorHAnsi"/>
                <w:lang w:eastAsia="it-IT"/>
              </w:rPr>
              <w:t>Studio multicentrico, randomizzato, in aperto, di fase III.</w:t>
            </w:r>
          </w:p>
          <w:p w14:paraId="710C3FAF" w14:textId="77777777" w:rsidR="00D2311D" w:rsidRPr="00840923" w:rsidRDefault="00D2311D" w:rsidP="00A5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sidRPr="00840923">
              <w:rPr>
                <w:rFonts w:cstheme="minorHAnsi"/>
                <w:lang w:eastAsia="it-IT"/>
              </w:rPr>
              <w:t xml:space="preserve">Sono eleggibili le donne con un carcinoma epiteliale sieroso di basso grado (LGSCO) dell’ovaio o del peritoneo, stadio FIGO III-IV, e con recettori ER e/o </w:t>
            </w:r>
            <w:proofErr w:type="spellStart"/>
            <w:r w:rsidRPr="00840923">
              <w:rPr>
                <w:rFonts w:cstheme="minorHAnsi"/>
                <w:lang w:eastAsia="it-IT"/>
              </w:rPr>
              <w:t>PgR</w:t>
            </w:r>
            <w:proofErr w:type="spellEnd"/>
            <w:r w:rsidRPr="00840923">
              <w:rPr>
                <w:rFonts w:cstheme="minorHAnsi"/>
                <w:lang w:eastAsia="it-IT"/>
              </w:rPr>
              <w:t xml:space="preserve"> positivi dopo intervento chirurgico primario</w:t>
            </w:r>
            <w:r w:rsidRPr="00840923">
              <w:rPr>
                <w:rFonts w:cstheme="minorHAnsi"/>
              </w:rPr>
              <w:t>.</w:t>
            </w:r>
          </w:p>
          <w:p w14:paraId="7DF41116" w14:textId="77777777" w:rsidR="00D2311D" w:rsidRPr="00840923" w:rsidRDefault="00D2311D" w:rsidP="00A5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sidRPr="00840923">
              <w:rPr>
                <w:rFonts w:cstheme="minorHAnsi"/>
                <w:lang w:eastAsia="it-IT"/>
              </w:rPr>
              <w:t xml:space="preserve">Campioni provenienti dalla chirurgia devono essere ottenuti per tutte le pazienti. Prima della randomizzazione, presso gli Ospedali Galliera sarà effettuata una conferma centralizzata della diagnosi di LSGCO (tramite test di immunoistochimica per l’espressione della p53 nucleare) e della valutazione della positività recettoriale (ER e/o </w:t>
            </w:r>
            <w:proofErr w:type="spellStart"/>
            <w:r w:rsidRPr="00840923">
              <w:rPr>
                <w:rFonts w:cstheme="minorHAnsi"/>
                <w:lang w:eastAsia="it-IT"/>
              </w:rPr>
              <w:t>PgR</w:t>
            </w:r>
            <w:proofErr w:type="spellEnd"/>
            <w:r w:rsidRPr="00840923">
              <w:rPr>
                <w:rFonts w:cstheme="minorHAnsi"/>
                <w:lang w:eastAsia="it-IT"/>
              </w:rPr>
              <w:t xml:space="preserve"> </w:t>
            </w:r>
            <w:r w:rsidRPr="00840923">
              <w:rPr>
                <w:rFonts w:cstheme="minorHAnsi"/>
              </w:rPr>
              <w:t>≥</w:t>
            </w:r>
            <w:r w:rsidRPr="00840923">
              <w:rPr>
                <w:rFonts w:cstheme="minorHAnsi"/>
                <w:lang w:eastAsia="it-IT"/>
              </w:rPr>
              <w:t>10%) e dell’espressione dei recettori degli androgeni (AR) e di Ki67.</w:t>
            </w:r>
          </w:p>
          <w:p w14:paraId="17406438" w14:textId="64757A13" w:rsidR="00D2311D" w:rsidRPr="00840923" w:rsidRDefault="00D2311D"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Le pazienti eleggibili saranno randomizzate con un rapporto 1:1 a</w:t>
            </w:r>
            <w:r>
              <w:rPr>
                <w:rFonts w:cstheme="minorHAnsi"/>
                <w:lang w:eastAsia="it-IT"/>
              </w:rPr>
              <w:t xml:space="preserve"> uno dei due bracci di studio sopra descritti.</w:t>
            </w:r>
          </w:p>
          <w:p w14:paraId="1C516920" w14:textId="66085FD5" w:rsidR="00D2311D" w:rsidRPr="00840923" w:rsidRDefault="00D2311D"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 xml:space="preserve">Le pazienti randomizzate al braccio di controllo che, a discrezione del medico, sono ritenute non idonee a ricevere il trattamento in combinazione, riceveranno la </w:t>
            </w:r>
            <w:proofErr w:type="spellStart"/>
            <w:r w:rsidRPr="00840923">
              <w:rPr>
                <w:rFonts w:cstheme="minorHAnsi"/>
                <w:lang w:eastAsia="it-IT"/>
              </w:rPr>
              <w:t>monoterapia</w:t>
            </w:r>
            <w:proofErr w:type="spellEnd"/>
            <w:r w:rsidRPr="00840923">
              <w:rPr>
                <w:rFonts w:cstheme="minorHAnsi"/>
                <w:lang w:eastAsia="it-IT"/>
              </w:rPr>
              <w:t xml:space="preserve"> con </w:t>
            </w:r>
            <w:proofErr w:type="spellStart"/>
            <w:r w:rsidRPr="00840923">
              <w:rPr>
                <w:rFonts w:cstheme="minorHAnsi"/>
                <w:lang w:eastAsia="it-IT"/>
              </w:rPr>
              <w:t>carboplatino</w:t>
            </w:r>
            <w:proofErr w:type="spellEnd"/>
            <w:r w:rsidRPr="00840923">
              <w:rPr>
                <w:rFonts w:cstheme="minorHAnsi"/>
                <w:lang w:eastAsia="it-IT"/>
              </w:rPr>
              <w:t xml:space="preserve">. Schedule di somministrazione settimanale di </w:t>
            </w:r>
            <w:proofErr w:type="spellStart"/>
            <w:r w:rsidRPr="00840923">
              <w:rPr>
                <w:rFonts w:cstheme="minorHAnsi"/>
                <w:lang w:eastAsia="it-IT"/>
              </w:rPr>
              <w:t>paclitaxel</w:t>
            </w:r>
            <w:proofErr w:type="spellEnd"/>
            <w:r w:rsidRPr="00840923">
              <w:rPr>
                <w:rFonts w:cstheme="minorHAnsi"/>
                <w:lang w:eastAsia="it-IT"/>
              </w:rPr>
              <w:t xml:space="preserve"> 80 mg/m</w:t>
            </w:r>
            <w:r w:rsidRPr="00840923">
              <w:rPr>
                <w:rFonts w:cstheme="minorHAnsi"/>
                <w:vertAlign w:val="superscript"/>
                <w:lang w:eastAsia="it-IT"/>
              </w:rPr>
              <w:t>2</w:t>
            </w:r>
            <w:r w:rsidRPr="00840923">
              <w:rPr>
                <w:rFonts w:cstheme="minorHAnsi"/>
                <w:lang w:eastAsia="it-IT"/>
              </w:rPr>
              <w:t xml:space="preserve"> e di </w:t>
            </w:r>
            <w:proofErr w:type="spellStart"/>
            <w:r w:rsidRPr="00840923">
              <w:rPr>
                <w:rFonts w:cstheme="minorHAnsi"/>
                <w:lang w:eastAsia="it-IT"/>
              </w:rPr>
              <w:t>car</w:t>
            </w:r>
            <w:r>
              <w:rPr>
                <w:rFonts w:cstheme="minorHAnsi"/>
                <w:lang w:eastAsia="it-IT"/>
              </w:rPr>
              <w:t>boplatino</w:t>
            </w:r>
            <w:proofErr w:type="spellEnd"/>
            <w:r>
              <w:rPr>
                <w:rFonts w:cstheme="minorHAnsi"/>
                <w:lang w:eastAsia="it-IT"/>
              </w:rPr>
              <w:t xml:space="preserve"> AUC2 sono consentite.</w:t>
            </w:r>
          </w:p>
          <w:p w14:paraId="7A3AAD9D" w14:textId="77777777" w:rsidR="00D2311D" w:rsidRPr="00840923" w:rsidRDefault="00D2311D"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In entrambi i bracci il trattamento dovrebbe iniziare il più presto possibile, comunque non più tardi di 60 giorni dopo l'intervento chirurgico primario.</w:t>
            </w:r>
          </w:p>
          <w:p w14:paraId="38235AB2" w14:textId="77777777" w:rsidR="00D2311D" w:rsidRPr="00840923" w:rsidRDefault="00D2311D" w:rsidP="00A56A25">
            <w:pPr>
              <w:spacing w:after="0" w:line="240" w:lineRule="auto"/>
              <w:rPr>
                <w:rFonts w:cstheme="minorHAnsi"/>
                <w:lang w:eastAsia="it-IT"/>
              </w:rPr>
            </w:pPr>
            <w:r w:rsidRPr="00840923">
              <w:rPr>
                <w:rFonts w:cstheme="minorHAnsi"/>
              </w:rPr>
              <w:t xml:space="preserve">Dopo progressione di malattia, le pazienti randomizzate alla chemioterapia possono ricevere </w:t>
            </w:r>
            <w:proofErr w:type="spellStart"/>
            <w:r w:rsidRPr="00840923">
              <w:rPr>
                <w:rFonts w:cstheme="minorHAnsi"/>
              </w:rPr>
              <w:t>letrozolo</w:t>
            </w:r>
            <w:proofErr w:type="spellEnd"/>
            <w:r w:rsidRPr="00840923">
              <w:rPr>
                <w:rFonts w:cstheme="minorHAnsi"/>
              </w:rPr>
              <w:t xml:space="preserve"> e viceversa; in ogni caso le migliori opzioni </w:t>
            </w:r>
            <w:r w:rsidRPr="00840923">
              <w:rPr>
                <w:rFonts w:cstheme="minorHAnsi"/>
                <w:lang w:eastAsia="it-IT"/>
              </w:rPr>
              <w:t xml:space="preserve">terapeutiche saranno valutate dal medico responsabile. Il </w:t>
            </w:r>
            <w:proofErr w:type="spellStart"/>
            <w:r w:rsidRPr="00840923">
              <w:rPr>
                <w:rFonts w:cstheme="minorHAnsi"/>
                <w:lang w:eastAsia="it-IT"/>
              </w:rPr>
              <w:t>letrozolo</w:t>
            </w:r>
            <w:proofErr w:type="spellEnd"/>
            <w:r w:rsidRPr="00840923">
              <w:rPr>
                <w:rFonts w:cstheme="minorHAnsi"/>
                <w:lang w:eastAsia="it-IT"/>
              </w:rPr>
              <w:t xml:space="preserve"> sarà fornito gratuitamente dallo sponsor dello studio.</w:t>
            </w:r>
          </w:p>
          <w:p w14:paraId="3F5B1F7A" w14:textId="30480E67" w:rsidR="00D2311D" w:rsidRPr="00840923" w:rsidRDefault="00D2311D"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 xml:space="preserve">La malattia sarà valutata tramite CA-125 e TAC torace addome inferiore e superiore con mezzo di contrasto allo screening e quindi ogni 6 mesi fino </w:t>
            </w:r>
            <w:r w:rsidRPr="00840923">
              <w:rPr>
                <w:rFonts w:cstheme="minorHAnsi"/>
                <w:lang w:eastAsia="it-IT"/>
              </w:rPr>
              <w:lastRenderedPageBreak/>
              <w:t>alla PD. La progressione sarà stabilita sulla base della valutazione degli esami radiologici in accordo ai criteri RECIST (versione 1.1), o come progressione clinica se una valutazione radiologica non sarà fattibile a causa delle condizioni cliniche della paziente.</w:t>
            </w:r>
          </w:p>
          <w:p w14:paraId="25D369BB" w14:textId="79A63EE1" w:rsidR="00D2311D" w:rsidRPr="00840923" w:rsidRDefault="00D2311D" w:rsidP="00A56A25">
            <w:pPr>
              <w:autoSpaceDE w:val="0"/>
              <w:autoSpaceDN w:val="0"/>
              <w:adjustRightInd w:val="0"/>
              <w:spacing w:after="0" w:line="240" w:lineRule="auto"/>
              <w:contextualSpacing/>
              <w:rPr>
                <w:rFonts w:cstheme="minorHAnsi"/>
              </w:rPr>
            </w:pPr>
            <w:r w:rsidRPr="00840923">
              <w:rPr>
                <w:rFonts w:cstheme="minorHAnsi"/>
                <w:lang w:eastAsia="it-IT"/>
              </w:rPr>
              <w:t>Per entrambi i bracci di studio, le visite devono essere pianificate ogni tre mesi nei primi due anni, e poi ogni sei mesi, fino a PD.</w:t>
            </w:r>
          </w:p>
          <w:p w14:paraId="758BBF97" w14:textId="2A3D721A" w:rsidR="00CA3BA2" w:rsidRPr="0053144E" w:rsidRDefault="00D2311D" w:rsidP="00A56A25">
            <w:pPr>
              <w:spacing w:after="0" w:line="240" w:lineRule="auto"/>
              <w:rPr>
                <w:rFonts w:cstheme="minorHAnsi"/>
              </w:rPr>
            </w:pPr>
            <w:r w:rsidRPr="00840923">
              <w:rPr>
                <w:rFonts w:cstheme="minorHAnsi"/>
              </w:rPr>
              <w:t xml:space="preserve">Per le pazienti assegnate a </w:t>
            </w:r>
            <w:proofErr w:type="spellStart"/>
            <w:r w:rsidRPr="00840923">
              <w:rPr>
                <w:rFonts w:cstheme="minorHAnsi"/>
              </w:rPr>
              <w:t>letrozolo</w:t>
            </w:r>
            <w:proofErr w:type="spellEnd"/>
            <w:r w:rsidRPr="00840923">
              <w:rPr>
                <w:rFonts w:cstheme="minorHAnsi"/>
              </w:rPr>
              <w:t>, la DEXA del collo del femore è obbligatoria ent</w:t>
            </w:r>
            <w:r w:rsidR="0053144E">
              <w:rPr>
                <w:rFonts w:cstheme="minorHAnsi"/>
              </w:rPr>
              <w:t>ro 3 mesi dalla randomizzazione</w:t>
            </w:r>
            <w:r w:rsidRPr="00840923">
              <w:rPr>
                <w:rFonts w:cstheme="minorHAnsi"/>
              </w:rPr>
              <w:t>.</w:t>
            </w:r>
          </w:p>
        </w:tc>
      </w:tr>
      <w:tr w:rsidR="00914C9C" w:rsidRPr="00CA3BA2" w14:paraId="13B895AA" w14:textId="77777777" w:rsidTr="00A56A25">
        <w:trPr>
          <w:trHeight w:val="283"/>
        </w:trPr>
        <w:tc>
          <w:tcPr>
            <w:tcW w:w="2721" w:type="dxa"/>
          </w:tcPr>
          <w:p w14:paraId="3882E68B" w14:textId="2DA61FB7" w:rsidR="00CA3BA2" w:rsidRPr="00CA3BA2" w:rsidRDefault="00DA12BE" w:rsidP="00A56A25">
            <w:pPr>
              <w:spacing w:after="0" w:line="240" w:lineRule="auto"/>
            </w:pPr>
            <w:r>
              <w:rPr>
                <w:b/>
                <w:bCs/>
              </w:rPr>
              <w:lastRenderedPageBreak/>
              <w:t>Obiettivo primario</w:t>
            </w:r>
          </w:p>
        </w:tc>
        <w:tc>
          <w:tcPr>
            <w:tcW w:w="7030" w:type="dxa"/>
          </w:tcPr>
          <w:p w14:paraId="10D342DB" w14:textId="3A860509" w:rsidR="00CA3BA2" w:rsidRPr="00984EAC" w:rsidRDefault="00984EAC" w:rsidP="00A56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cstheme="minorHAnsi"/>
              </w:rPr>
            </w:pPr>
            <w:r w:rsidRPr="00840923">
              <w:rPr>
                <w:rFonts w:cstheme="minorHAnsi"/>
                <w:bCs/>
              </w:rPr>
              <w:t xml:space="preserve">Determinare se </w:t>
            </w:r>
            <w:proofErr w:type="spellStart"/>
            <w:r w:rsidRPr="00840923">
              <w:rPr>
                <w:rFonts w:cstheme="minorHAnsi"/>
                <w:bCs/>
              </w:rPr>
              <w:t>letrozolo</w:t>
            </w:r>
            <w:proofErr w:type="spellEnd"/>
            <w:r w:rsidRPr="00840923">
              <w:rPr>
                <w:rFonts w:cstheme="minorHAnsi"/>
                <w:bCs/>
              </w:rPr>
              <w:t xml:space="preserve"> è superiore alla chemioterapia standard in termini di sopravvivenza libera da progressione di malattia (PFS) in pazienti con carcinoma ovarico epiteliale sieroso di basso grado (LGSCO) avanzato e recettori per estrogeni e/o progesterone positivi</w:t>
            </w:r>
            <w:r w:rsidR="00FB68FF">
              <w:rPr>
                <w:rFonts w:cstheme="minorHAnsi"/>
                <w:bCs/>
              </w:rPr>
              <w:t>.</w:t>
            </w:r>
          </w:p>
        </w:tc>
      </w:tr>
      <w:tr w:rsidR="00914C9C" w14:paraId="34FCC838" w14:textId="77777777" w:rsidTr="00A56A25">
        <w:trPr>
          <w:trHeight w:val="283"/>
        </w:trPr>
        <w:tc>
          <w:tcPr>
            <w:tcW w:w="2721" w:type="dxa"/>
          </w:tcPr>
          <w:p w14:paraId="1EE60827" w14:textId="2704A205" w:rsidR="00CA3BA2" w:rsidRPr="00CA3BA2" w:rsidRDefault="00DA12BE" w:rsidP="00A56A25">
            <w:pPr>
              <w:spacing w:after="0" w:line="240" w:lineRule="auto"/>
              <w:rPr>
                <w:b/>
                <w:bCs/>
              </w:rPr>
            </w:pPr>
            <w:r>
              <w:rPr>
                <w:b/>
                <w:bCs/>
              </w:rPr>
              <w:t>Obiettivi secondari</w:t>
            </w:r>
            <w:r w:rsidR="00984EAC">
              <w:rPr>
                <w:b/>
                <w:bCs/>
              </w:rPr>
              <w:t xml:space="preserve"> (Principali)</w:t>
            </w:r>
          </w:p>
        </w:tc>
        <w:tc>
          <w:tcPr>
            <w:tcW w:w="7030" w:type="dxa"/>
          </w:tcPr>
          <w:p w14:paraId="24391CC8" w14:textId="77777777" w:rsidR="00984EAC" w:rsidRPr="00840923" w:rsidRDefault="00984EAC" w:rsidP="00A56A25">
            <w:pPr>
              <w:autoSpaceDE w:val="0"/>
              <w:autoSpaceDN w:val="0"/>
              <w:adjustRightInd w:val="0"/>
              <w:spacing w:after="0" w:line="240" w:lineRule="auto"/>
              <w:jc w:val="both"/>
              <w:rPr>
                <w:rFonts w:cstheme="minorHAnsi"/>
                <w:bCs/>
              </w:rPr>
            </w:pPr>
            <w:r>
              <w:rPr>
                <w:rFonts w:cstheme="minorHAnsi"/>
                <w:bCs/>
              </w:rPr>
              <w:t>V</w:t>
            </w:r>
            <w:r w:rsidRPr="00840923">
              <w:rPr>
                <w:rFonts w:cstheme="minorHAnsi"/>
                <w:bCs/>
              </w:rPr>
              <w:t xml:space="preserve">erificare l’effetto predittivo di ER e </w:t>
            </w:r>
            <w:proofErr w:type="spellStart"/>
            <w:r w:rsidRPr="00840923">
              <w:rPr>
                <w:rFonts w:cstheme="minorHAnsi"/>
                <w:bCs/>
              </w:rPr>
              <w:t>PgR</w:t>
            </w:r>
            <w:proofErr w:type="spellEnd"/>
            <w:r w:rsidRPr="00840923">
              <w:rPr>
                <w:rFonts w:cstheme="minorHAnsi"/>
                <w:bCs/>
              </w:rPr>
              <w:t xml:space="preserve"> sulla risposta al </w:t>
            </w:r>
            <w:proofErr w:type="spellStart"/>
            <w:r w:rsidRPr="00840923">
              <w:rPr>
                <w:rFonts w:cstheme="minorHAnsi"/>
                <w:bCs/>
              </w:rPr>
              <w:t>letrozolo</w:t>
            </w:r>
            <w:proofErr w:type="spellEnd"/>
            <w:r w:rsidRPr="00840923">
              <w:rPr>
                <w:rFonts w:cstheme="minorHAnsi"/>
                <w:bCs/>
              </w:rPr>
              <w:t xml:space="preserve"> in termini di PFS e </w:t>
            </w:r>
            <w:r>
              <w:rPr>
                <w:rFonts w:cstheme="minorHAnsi"/>
                <w:bCs/>
              </w:rPr>
              <w:t>ORR.</w:t>
            </w:r>
          </w:p>
          <w:p w14:paraId="3E11DA75" w14:textId="77777777" w:rsidR="00984EAC" w:rsidRPr="00840923" w:rsidRDefault="00984EAC" w:rsidP="00A56A25">
            <w:pPr>
              <w:autoSpaceDE w:val="0"/>
              <w:autoSpaceDN w:val="0"/>
              <w:adjustRightInd w:val="0"/>
              <w:spacing w:after="0" w:line="240" w:lineRule="auto"/>
              <w:jc w:val="both"/>
              <w:rPr>
                <w:rFonts w:cstheme="minorHAnsi"/>
                <w:bCs/>
              </w:rPr>
            </w:pPr>
            <w:r>
              <w:rPr>
                <w:rFonts w:cstheme="minorHAnsi"/>
                <w:bCs/>
              </w:rPr>
              <w:t>V</w:t>
            </w:r>
            <w:r w:rsidRPr="00840923">
              <w:rPr>
                <w:rFonts w:cstheme="minorHAnsi"/>
                <w:bCs/>
              </w:rPr>
              <w:t xml:space="preserve">alutare l'impatto del </w:t>
            </w:r>
            <w:proofErr w:type="spellStart"/>
            <w:r w:rsidRPr="00840923">
              <w:rPr>
                <w:rFonts w:cstheme="minorHAnsi"/>
                <w:bCs/>
              </w:rPr>
              <w:t>letrozolo</w:t>
            </w:r>
            <w:proofErr w:type="spellEnd"/>
            <w:r w:rsidRPr="00840923">
              <w:rPr>
                <w:rFonts w:cstheme="minorHAnsi"/>
                <w:bCs/>
              </w:rPr>
              <w:t xml:space="preserve"> rispetto alla chemioterapia standard sulla qualità della vita correlata alla salute delle pazienti, misurata tramite il questionario MENQOL</w:t>
            </w:r>
            <w:r>
              <w:rPr>
                <w:rFonts w:cstheme="minorHAnsi"/>
                <w:bCs/>
              </w:rPr>
              <w:t>.</w:t>
            </w:r>
          </w:p>
          <w:p w14:paraId="4DF67E04" w14:textId="77777777" w:rsidR="00984EAC" w:rsidRPr="00840923" w:rsidRDefault="00984EAC" w:rsidP="00A56A25">
            <w:pPr>
              <w:autoSpaceDE w:val="0"/>
              <w:autoSpaceDN w:val="0"/>
              <w:adjustRightInd w:val="0"/>
              <w:spacing w:after="0" w:line="240" w:lineRule="auto"/>
              <w:jc w:val="both"/>
              <w:rPr>
                <w:rFonts w:cstheme="minorHAnsi"/>
                <w:bCs/>
              </w:rPr>
            </w:pPr>
            <w:r>
              <w:rPr>
                <w:rFonts w:cstheme="minorHAnsi"/>
                <w:bCs/>
              </w:rPr>
              <w:t>V</w:t>
            </w:r>
            <w:r w:rsidRPr="00840923">
              <w:rPr>
                <w:rFonts w:cstheme="minorHAnsi"/>
                <w:bCs/>
              </w:rPr>
              <w:t>alutar</w:t>
            </w:r>
            <w:r>
              <w:rPr>
                <w:rFonts w:cstheme="minorHAnsi"/>
                <w:bCs/>
              </w:rPr>
              <w:t>e la sopravvivenza globale (OS).</w:t>
            </w:r>
          </w:p>
          <w:p w14:paraId="6C4883FF" w14:textId="0D9584E6" w:rsidR="00CA3BA2" w:rsidRPr="00984EAC" w:rsidRDefault="00984EAC" w:rsidP="00A56A25">
            <w:pPr>
              <w:autoSpaceDE w:val="0"/>
              <w:autoSpaceDN w:val="0"/>
              <w:adjustRightInd w:val="0"/>
              <w:spacing w:after="0" w:line="240" w:lineRule="auto"/>
              <w:jc w:val="both"/>
              <w:rPr>
                <w:rFonts w:cstheme="minorHAnsi"/>
                <w:bCs/>
              </w:rPr>
            </w:pPr>
            <w:r>
              <w:rPr>
                <w:rFonts w:cstheme="minorHAnsi"/>
                <w:bCs/>
              </w:rPr>
              <w:t>V</w:t>
            </w:r>
            <w:r w:rsidRPr="00840923">
              <w:rPr>
                <w:rFonts w:cstheme="minorHAnsi"/>
                <w:bCs/>
              </w:rPr>
              <w:t xml:space="preserve">alutare la sicurezza del </w:t>
            </w:r>
            <w:proofErr w:type="spellStart"/>
            <w:r w:rsidRPr="00840923">
              <w:rPr>
                <w:rFonts w:cstheme="minorHAnsi"/>
                <w:bCs/>
              </w:rPr>
              <w:t>letrozolo</w:t>
            </w:r>
            <w:proofErr w:type="spellEnd"/>
            <w:r w:rsidRPr="00840923">
              <w:rPr>
                <w:rFonts w:cstheme="minorHAnsi"/>
                <w:bCs/>
              </w:rPr>
              <w:t xml:space="preserve"> rispetto alla chemioterapia standard.</w:t>
            </w:r>
          </w:p>
        </w:tc>
      </w:tr>
      <w:tr w:rsidR="00914C9C" w14:paraId="24C6B998" w14:textId="77777777" w:rsidTr="00A56A25">
        <w:trPr>
          <w:trHeight w:val="283"/>
        </w:trPr>
        <w:tc>
          <w:tcPr>
            <w:tcW w:w="2721" w:type="dxa"/>
          </w:tcPr>
          <w:p w14:paraId="6099EC7A" w14:textId="7C8B95CD" w:rsidR="00CA3BA2" w:rsidRPr="00CA3BA2" w:rsidRDefault="00DA12BE" w:rsidP="00A56A25">
            <w:pPr>
              <w:spacing w:after="0" w:line="240" w:lineRule="auto"/>
              <w:rPr>
                <w:b/>
                <w:bCs/>
              </w:rPr>
            </w:pPr>
            <w:r>
              <w:rPr>
                <w:b/>
                <w:bCs/>
              </w:rPr>
              <w:t>Obiettivi esploratori</w:t>
            </w:r>
            <w:r w:rsidR="00F50783">
              <w:rPr>
                <w:b/>
                <w:bCs/>
              </w:rPr>
              <w:t xml:space="preserve"> (Traslazionali)</w:t>
            </w:r>
          </w:p>
        </w:tc>
        <w:tc>
          <w:tcPr>
            <w:tcW w:w="7030" w:type="dxa"/>
          </w:tcPr>
          <w:p w14:paraId="590485B1" w14:textId="77777777" w:rsidR="00F50783" w:rsidRPr="00840923" w:rsidRDefault="00F50783" w:rsidP="00A56A25">
            <w:pPr>
              <w:autoSpaceDE w:val="0"/>
              <w:autoSpaceDN w:val="0"/>
              <w:adjustRightInd w:val="0"/>
              <w:spacing w:after="0" w:line="240" w:lineRule="auto"/>
              <w:rPr>
                <w:rFonts w:cstheme="minorHAnsi"/>
                <w:bCs/>
              </w:rPr>
            </w:pPr>
            <w:r w:rsidRPr="00840923">
              <w:rPr>
                <w:rFonts w:cstheme="minorHAnsi"/>
                <w:bCs/>
              </w:rPr>
              <w:t>Caratterizzare il profilo mutazionale e l’espressione genica del tumore mediante la metodologia NGS (seque</w:t>
            </w:r>
            <w:r>
              <w:rPr>
                <w:rFonts w:cstheme="minorHAnsi"/>
                <w:bCs/>
              </w:rPr>
              <w:t>nziamento di nuova generazione).</w:t>
            </w:r>
          </w:p>
          <w:p w14:paraId="0C11DFE3" w14:textId="1D89BF4E" w:rsidR="00CA3BA2" w:rsidRDefault="00F50783" w:rsidP="00A56A25">
            <w:pPr>
              <w:spacing w:after="0" w:line="240" w:lineRule="auto"/>
            </w:pPr>
            <w:r>
              <w:rPr>
                <w:rFonts w:cstheme="minorHAnsi"/>
                <w:bCs/>
              </w:rPr>
              <w:t>V</w:t>
            </w:r>
            <w:r w:rsidRPr="00984EAC">
              <w:rPr>
                <w:rFonts w:cstheme="minorHAnsi"/>
                <w:bCs/>
              </w:rPr>
              <w:t>alutare il DNA tumorale circolante (</w:t>
            </w:r>
            <w:proofErr w:type="spellStart"/>
            <w:r w:rsidRPr="00984EAC">
              <w:rPr>
                <w:rFonts w:cstheme="minorHAnsi"/>
                <w:bCs/>
              </w:rPr>
              <w:t>ctDNA</w:t>
            </w:r>
            <w:proofErr w:type="spellEnd"/>
            <w:r w:rsidRPr="00984EAC">
              <w:rPr>
                <w:rFonts w:cstheme="minorHAnsi"/>
                <w:bCs/>
              </w:rPr>
              <w:t>) come strumento per monitorare la risposta della malattia.</w:t>
            </w:r>
          </w:p>
        </w:tc>
      </w:tr>
      <w:tr w:rsidR="00914C9C" w14:paraId="7D5FDF9A" w14:textId="77777777" w:rsidTr="00A56A25">
        <w:trPr>
          <w:trHeight w:val="283"/>
        </w:trPr>
        <w:tc>
          <w:tcPr>
            <w:tcW w:w="2721" w:type="dxa"/>
          </w:tcPr>
          <w:p w14:paraId="714A0C0E" w14:textId="4F711B0D" w:rsidR="00CA3BA2" w:rsidRPr="00CA3BA2" w:rsidRDefault="00CA3BA2" w:rsidP="00A56A25">
            <w:pPr>
              <w:spacing w:after="0" w:line="240" w:lineRule="auto"/>
              <w:rPr>
                <w:b/>
                <w:bCs/>
              </w:rPr>
            </w:pPr>
            <w:r>
              <w:rPr>
                <w:b/>
                <w:bCs/>
              </w:rPr>
              <w:t>C</w:t>
            </w:r>
            <w:r w:rsidR="00DA12BE">
              <w:rPr>
                <w:b/>
                <w:bCs/>
              </w:rPr>
              <w:t>riteri di inclusione/esclusione</w:t>
            </w:r>
            <w:r w:rsidR="008629F6">
              <w:rPr>
                <w:b/>
                <w:bCs/>
              </w:rPr>
              <w:t xml:space="preserve"> (Principali)</w:t>
            </w:r>
          </w:p>
        </w:tc>
        <w:tc>
          <w:tcPr>
            <w:tcW w:w="7030" w:type="dxa"/>
          </w:tcPr>
          <w:p w14:paraId="40057233" w14:textId="741B8A59" w:rsidR="00914C9C" w:rsidRPr="00914C9C" w:rsidRDefault="00914C9C" w:rsidP="00A56A25">
            <w:pPr>
              <w:autoSpaceDE w:val="0"/>
              <w:autoSpaceDN w:val="0"/>
              <w:adjustRightInd w:val="0"/>
              <w:spacing w:after="0" w:line="240" w:lineRule="auto"/>
              <w:ind w:left="3"/>
              <w:contextualSpacing/>
              <w:rPr>
                <w:rFonts w:cstheme="minorHAnsi"/>
                <w:b/>
                <w:bCs/>
                <w:lang w:eastAsia="it-IT"/>
              </w:rPr>
            </w:pPr>
            <w:r w:rsidRPr="00914C9C">
              <w:rPr>
                <w:rFonts w:cstheme="minorHAnsi"/>
                <w:b/>
                <w:bCs/>
                <w:lang w:eastAsia="it-IT"/>
              </w:rPr>
              <w:t>Principali criteri di inclusione</w:t>
            </w:r>
          </w:p>
          <w:p w14:paraId="26364755" w14:textId="3A1E85F2" w:rsidR="00804532" w:rsidRPr="00840923" w:rsidRDefault="00804532" w:rsidP="00A56A25">
            <w:pPr>
              <w:autoSpaceDE w:val="0"/>
              <w:autoSpaceDN w:val="0"/>
              <w:adjustRightInd w:val="0"/>
              <w:spacing w:after="0" w:line="240" w:lineRule="auto"/>
              <w:ind w:left="3"/>
              <w:contextualSpacing/>
              <w:rPr>
                <w:rFonts w:cstheme="minorHAnsi"/>
                <w:lang w:eastAsia="it-IT"/>
              </w:rPr>
            </w:pPr>
            <w:r w:rsidRPr="00840923">
              <w:rPr>
                <w:rFonts w:cstheme="minorHAnsi"/>
                <w:bCs/>
                <w:lang w:eastAsia="it-IT"/>
              </w:rPr>
              <w:t>Età ≥ 18 anni.</w:t>
            </w:r>
          </w:p>
          <w:p w14:paraId="0B5B543C" w14:textId="77777777" w:rsidR="00804532" w:rsidRPr="00840923" w:rsidRDefault="00804532" w:rsidP="00A56A25">
            <w:pPr>
              <w:autoSpaceDE w:val="0"/>
              <w:autoSpaceDN w:val="0"/>
              <w:adjustRightInd w:val="0"/>
              <w:spacing w:after="0" w:line="240" w:lineRule="auto"/>
              <w:ind w:left="3"/>
              <w:contextualSpacing/>
              <w:rPr>
                <w:rFonts w:cstheme="minorHAnsi"/>
                <w:lang w:eastAsia="it-IT"/>
              </w:rPr>
            </w:pPr>
            <w:r w:rsidRPr="00840923">
              <w:rPr>
                <w:rFonts w:cstheme="minorHAnsi"/>
                <w:lang w:eastAsia="it-IT"/>
              </w:rPr>
              <w:t xml:space="preserve">Carcinoma sieroso di basso grado dell'ovaio o del peritoneo (carcinoma sieroso </w:t>
            </w:r>
            <w:proofErr w:type="spellStart"/>
            <w:r w:rsidRPr="00840923">
              <w:rPr>
                <w:rFonts w:cstheme="minorHAnsi"/>
                <w:lang w:eastAsia="it-IT"/>
              </w:rPr>
              <w:t>micropapillare</w:t>
            </w:r>
            <w:proofErr w:type="spellEnd"/>
            <w:r w:rsidRPr="00840923">
              <w:rPr>
                <w:rFonts w:cstheme="minorHAnsi"/>
                <w:lang w:eastAsia="it-IT"/>
              </w:rPr>
              <w:t xml:space="preserve"> invasivo o carcinoma sieroso di grado 1 invasivo) di nuova diagnosi. Ciò deve essere confermato, tramite test di immunoistochimica nucleare p53, dalla revisione patologica centralizzata eseguita presso il Centro Coordinatore.</w:t>
            </w:r>
          </w:p>
          <w:p w14:paraId="49BB38CB" w14:textId="77777777" w:rsidR="00804532" w:rsidRPr="00804532" w:rsidRDefault="00804532" w:rsidP="00A56A25">
            <w:pPr>
              <w:autoSpaceDE w:val="0"/>
              <w:autoSpaceDN w:val="0"/>
              <w:adjustRightInd w:val="0"/>
              <w:spacing w:after="0" w:line="240" w:lineRule="auto"/>
              <w:ind w:left="3"/>
              <w:rPr>
                <w:rFonts w:cstheme="minorHAnsi"/>
                <w:lang w:eastAsia="it-IT"/>
              </w:rPr>
            </w:pPr>
            <w:r w:rsidRPr="00804532">
              <w:rPr>
                <w:rFonts w:cstheme="minorHAnsi"/>
                <w:lang w:eastAsia="it-IT"/>
              </w:rPr>
              <w:t xml:space="preserve">Positività dei recettori ER e/o </w:t>
            </w:r>
            <w:proofErr w:type="spellStart"/>
            <w:r w:rsidRPr="00804532">
              <w:rPr>
                <w:rFonts w:cstheme="minorHAnsi"/>
                <w:lang w:eastAsia="it-IT"/>
              </w:rPr>
              <w:t>PgR</w:t>
            </w:r>
            <w:proofErr w:type="spellEnd"/>
            <w:r w:rsidRPr="00804532">
              <w:rPr>
                <w:rFonts w:cstheme="minorHAnsi"/>
                <w:lang w:eastAsia="it-IT"/>
              </w:rPr>
              <w:t xml:space="preserve"> (</w:t>
            </w:r>
            <w:r w:rsidRPr="00804532">
              <w:rPr>
                <w:rFonts w:cstheme="minorHAnsi"/>
                <w:bCs/>
                <w:lang w:eastAsia="it-IT"/>
              </w:rPr>
              <w:t>≥</w:t>
            </w:r>
            <w:r w:rsidRPr="00804532">
              <w:rPr>
                <w:rFonts w:cstheme="minorHAnsi"/>
                <w:lang w:eastAsia="it-IT"/>
              </w:rPr>
              <w:t>10%) determinata con analisi immunoistochimica e confermata dalla revisione centralizzata presso il Centro Coordinatore.</w:t>
            </w:r>
          </w:p>
          <w:p w14:paraId="2E7EAA06" w14:textId="77777777" w:rsidR="00804532" w:rsidRPr="00804532" w:rsidRDefault="00804532" w:rsidP="00A56A25">
            <w:pPr>
              <w:autoSpaceDE w:val="0"/>
              <w:autoSpaceDN w:val="0"/>
              <w:adjustRightInd w:val="0"/>
              <w:spacing w:after="0" w:line="240" w:lineRule="auto"/>
              <w:ind w:left="3"/>
              <w:rPr>
                <w:rFonts w:cstheme="minorHAnsi"/>
                <w:lang w:eastAsia="it-IT"/>
              </w:rPr>
            </w:pPr>
            <w:r w:rsidRPr="00804532">
              <w:rPr>
                <w:rFonts w:cstheme="minorHAnsi"/>
                <w:lang w:eastAsia="it-IT"/>
              </w:rPr>
              <w:t xml:space="preserve">Le pazienti devono aver effettuato un intervento di chirurgia </w:t>
            </w:r>
            <w:proofErr w:type="spellStart"/>
            <w:r w:rsidRPr="00804532">
              <w:rPr>
                <w:rFonts w:cstheme="minorHAnsi"/>
                <w:lang w:eastAsia="it-IT"/>
              </w:rPr>
              <w:t>citoriduttiva</w:t>
            </w:r>
            <w:proofErr w:type="spellEnd"/>
            <w:r w:rsidRPr="00804532">
              <w:rPr>
                <w:rFonts w:cstheme="minorHAnsi"/>
                <w:lang w:eastAsia="it-IT"/>
              </w:rPr>
              <w:t xml:space="preserve"> primaria, con residuo di malattia ottimale o non ottimale.</w:t>
            </w:r>
          </w:p>
          <w:p w14:paraId="4C4D7FB2" w14:textId="14E24834" w:rsidR="00804532" w:rsidRPr="00804532" w:rsidRDefault="00804532" w:rsidP="00A56A25">
            <w:pPr>
              <w:autoSpaceDE w:val="0"/>
              <w:autoSpaceDN w:val="0"/>
              <w:adjustRightInd w:val="0"/>
              <w:spacing w:after="0" w:line="240" w:lineRule="auto"/>
              <w:ind w:left="3"/>
              <w:rPr>
                <w:rFonts w:cstheme="minorHAnsi"/>
                <w:lang w:eastAsia="it-IT"/>
              </w:rPr>
            </w:pPr>
            <w:r w:rsidRPr="00804532">
              <w:rPr>
                <w:rFonts w:cstheme="minorHAnsi"/>
                <w:lang w:eastAsia="it-IT"/>
              </w:rPr>
              <w:t>Stadio III-IV second</w:t>
            </w:r>
            <w:r w:rsidR="009E3C31">
              <w:rPr>
                <w:rFonts w:cstheme="minorHAnsi"/>
                <w:lang w:eastAsia="it-IT"/>
              </w:rPr>
              <w:t>o la classificazione FIGO 2018.</w:t>
            </w:r>
          </w:p>
          <w:p w14:paraId="21DC16BB" w14:textId="77777777" w:rsidR="00CA3BA2" w:rsidRDefault="00804532" w:rsidP="00A56A25">
            <w:pPr>
              <w:spacing w:after="0" w:line="240" w:lineRule="auto"/>
              <w:jc w:val="both"/>
              <w:rPr>
                <w:rFonts w:cstheme="minorHAnsi"/>
                <w:lang w:eastAsia="it-IT"/>
              </w:rPr>
            </w:pPr>
            <w:r w:rsidRPr="00804532">
              <w:rPr>
                <w:rFonts w:cstheme="minorHAnsi"/>
                <w:lang w:eastAsia="it-IT"/>
              </w:rPr>
              <w:t>Consenso informato scritto ottenuto prima di qualsiasi procedura specifica dello studio.</w:t>
            </w:r>
          </w:p>
          <w:p w14:paraId="1360CC05" w14:textId="509BB050" w:rsidR="00914C9C" w:rsidRPr="00914C9C" w:rsidRDefault="009E3C31" w:rsidP="00A56A25">
            <w:pPr>
              <w:autoSpaceDE w:val="0"/>
              <w:autoSpaceDN w:val="0"/>
              <w:adjustRightInd w:val="0"/>
              <w:spacing w:after="0" w:line="240" w:lineRule="auto"/>
              <w:ind w:left="3"/>
              <w:contextualSpacing/>
              <w:rPr>
                <w:rFonts w:cstheme="minorHAnsi"/>
                <w:b/>
                <w:bCs/>
                <w:lang w:eastAsia="it-IT"/>
              </w:rPr>
            </w:pPr>
            <w:r>
              <w:rPr>
                <w:rFonts w:cstheme="minorHAnsi"/>
                <w:b/>
                <w:bCs/>
                <w:lang w:eastAsia="it-IT"/>
              </w:rPr>
              <w:t>Principali criteri di es</w:t>
            </w:r>
            <w:r w:rsidR="00914C9C" w:rsidRPr="00914C9C">
              <w:rPr>
                <w:rFonts w:cstheme="minorHAnsi"/>
                <w:b/>
                <w:bCs/>
                <w:lang w:eastAsia="it-IT"/>
              </w:rPr>
              <w:t>clusione</w:t>
            </w:r>
          </w:p>
          <w:p w14:paraId="619B85CC" w14:textId="77777777" w:rsidR="009E3C31" w:rsidRPr="00840923" w:rsidRDefault="009E3C31"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Altri tumori maligni negli ultimi 5 anni, ad eccezione del carcinoma cutaneo non melanoma adeguatamente trattato.</w:t>
            </w:r>
          </w:p>
          <w:p w14:paraId="2668D501" w14:textId="77777777" w:rsidR="009E3C31" w:rsidRPr="00840923" w:rsidRDefault="009E3C31"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 xml:space="preserve">Chemioterapia </w:t>
            </w:r>
            <w:proofErr w:type="spellStart"/>
            <w:r w:rsidRPr="00840923">
              <w:rPr>
                <w:rFonts w:cstheme="minorHAnsi"/>
                <w:lang w:eastAsia="it-IT"/>
              </w:rPr>
              <w:t>neoadiuvante</w:t>
            </w:r>
            <w:proofErr w:type="spellEnd"/>
            <w:r w:rsidRPr="00840923">
              <w:rPr>
                <w:rFonts w:cstheme="minorHAnsi"/>
                <w:lang w:eastAsia="it-IT"/>
              </w:rPr>
              <w:t xml:space="preserve"> o radioterapia per il trattamento di questa malattia.</w:t>
            </w:r>
          </w:p>
          <w:p w14:paraId="1EC03E70" w14:textId="77777777" w:rsidR="009E3C31" w:rsidRPr="00840923" w:rsidRDefault="009E3C31" w:rsidP="00A56A25">
            <w:pPr>
              <w:autoSpaceDE w:val="0"/>
              <w:autoSpaceDN w:val="0"/>
              <w:adjustRightInd w:val="0"/>
              <w:spacing w:after="0" w:line="240" w:lineRule="auto"/>
              <w:contextualSpacing/>
              <w:rPr>
                <w:rFonts w:cstheme="minorHAnsi"/>
                <w:lang w:eastAsia="it-IT"/>
              </w:rPr>
            </w:pPr>
            <w:r w:rsidRPr="00840923">
              <w:rPr>
                <w:rFonts w:cstheme="minorHAnsi"/>
                <w:lang w:eastAsia="it-IT"/>
              </w:rPr>
              <w:t>Precedente terapia ormonale per il trattamento di questa malattia.</w:t>
            </w:r>
          </w:p>
          <w:p w14:paraId="50281592" w14:textId="77777777" w:rsidR="009E3C31" w:rsidRPr="00840923" w:rsidRDefault="009E3C31" w:rsidP="00A56A25">
            <w:pPr>
              <w:autoSpaceDE w:val="0"/>
              <w:autoSpaceDN w:val="0"/>
              <w:adjustRightInd w:val="0"/>
              <w:spacing w:after="0" w:line="240" w:lineRule="auto"/>
              <w:rPr>
                <w:rFonts w:cstheme="minorHAnsi"/>
                <w:lang w:eastAsia="it-IT"/>
              </w:rPr>
            </w:pPr>
            <w:r w:rsidRPr="00840923">
              <w:rPr>
                <w:rFonts w:cstheme="minorHAnsi"/>
                <w:lang w:eastAsia="it-IT"/>
              </w:rPr>
              <w:t>Neuropatia di grado 2 o superiore.</w:t>
            </w:r>
          </w:p>
          <w:p w14:paraId="2CD05570" w14:textId="77777777" w:rsidR="009E3C31" w:rsidRPr="00840923" w:rsidRDefault="009E3C31" w:rsidP="00A56A25">
            <w:pPr>
              <w:autoSpaceDE w:val="0"/>
              <w:autoSpaceDN w:val="0"/>
              <w:adjustRightInd w:val="0"/>
              <w:spacing w:after="0" w:line="240" w:lineRule="auto"/>
              <w:rPr>
                <w:rFonts w:cstheme="minorHAnsi"/>
                <w:lang w:eastAsia="it-IT"/>
              </w:rPr>
            </w:pPr>
            <w:r w:rsidRPr="00840923">
              <w:rPr>
                <w:rFonts w:cstheme="minorHAnsi"/>
                <w:lang w:eastAsia="it-IT"/>
              </w:rPr>
              <w:t>Storia di fratture della colonna vertebrale o del femore non adeguatamente trattate.</w:t>
            </w:r>
          </w:p>
          <w:p w14:paraId="497A8C29" w14:textId="427BFCC4" w:rsidR="00914C9C" w:rsidRDefault="009E3C31" w:rsidP="00FB68FF">
            <w:pPr>
              <w:spacing w:after="0" w:line="240" w:lineRule="auto"/>
              <w:jc w:val="both"/>
            </w:pPr>
            <w:r w:rsidRPr="00840923">
              <w:rPr>
                <w:rFonts w:cstheme="minorHAnsi"/>
                <w:lang w:eastAsia="it-IT"/>
              </w:rPr>
              <w:t>Pazienti con osteoporosi nota (</w:t>
            </w:r>
            <w:r w:rsidRPr="00840923">
              <w:rPr>
                <w:rFonts w:cstheme="minorHAnsi"/>
                <w:lang w:val="en-GB"/>
              </w:rPr>
              <w:t xml:space="preserve">dual-energy x-ray absorptiometry </w:t>
            </w:r>
            <w:r w:rsidRPr="00840923">
              <w:rPr>
                <w:rFonts w:cstheme="minorHAnsi"/>
              </w:rPr>
              <w:t>(DEXA) del collo femorale con T score di -2,5 o inferiore</w:t>
            </w:r>
            <w:r w:rsidRPr="00840923">
              <w:rPr>
                <w:rFonts w:cstheme="minorHAnsi"/>
                <w:lang w:eastAsia="it-IT"/>
              </w:rPr>
              <w:t>) non adeguatamente trattata</w:t>
            </w:r>
            <w:bookmarkStart w:id="0" w:name="_GoBack"/>
            <w:bookmarkEnd w:id="0"/>
            <w:r w:rsidRPr="00840923">
              <w:rPr>
                <w:rFonts w:cstheme="minorHAnsi"/>
                <w:lang w:eastAsia="it-IT"/>
              </w:rPr>
              <w:t>.</w:t>
            </w:r>
          </w:p>
        </w:tc>
      </w:tr>
    </w:tbl>
    <w:p w14:paraId="1FCFBE11" w14:textId="2D8AC180" w:rsidR="00DA12BE" w:rsidRDefault="00DA12BE" w:rsidP="008961A7">
      <w:pPr>
        <w:autoSpaceDE w:val="0"/>
        <w:autoSpaceDN w:val="0"/>
        <w:adjustRightInd w:val="0"/>
        <w:spacing w:after="0" w:line="240" w:lineRule="auto"/>
      </w:pPr>
    </w:p>
    <w:sectPr w:rsidR="00DA12BE">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7F02"/>
    <w:multiLevelType w:val="hybridMultilevel"/>
    <w:tmpl w:val="C1FED85E"/>
    <w:lvl w:ilvl="0" w:tplc="25B86B12">
      <w:start w:val="1"/>
      <w:numFmt w:val="decimal"/>
      <w:lvlText w:val="E - %1."/>
      <w:lvlJc w:val="left"/>
      <w:pPr>
        <w:ind w:left="720" w:hanging="360"/>
      </w:pPr>
      <w:rPr>
        <w:rFonts w:hint="default"/>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526C2E"/>
    <w:multiLevelType w:val="hybridMultilevel"/>
    <w:tmpl w:val="C0BC7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FD2B96"/>
    <w:multiLevelType w:val="hybridMultilevel"/>
    <w:tmpl w:val="C5D639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5A340404">
      <w:numFmt w:val="bullet"/>
      <w:lvlText w:val=""/>
      <w:lvlJc w:val="left"/>
      <w:pPr>
        <w:ind w:left="3105" w:hanging="585"/>
      </w:pPr>
      <w:rPr>
        <w:rFonts w:ascii="Symbol" w:eastAsia="Times New Roman" w:hAnsi="Symbol" w:cs="Times New Roman"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FF3383B"/>
    <w:multiLevelType w:val="hybridMultilevel"/>
    <w:tmpl w:val="D9DED4E4"/>
    <w:lvl w:ilvl="0" w:tplc="1A8609D8">
      <w:start w:val="1"/>
      <w:numFmt w:val="bullet"/>
      <w:lvlText w:val="-"/>
      <w:lvlJc w:val="left"/>
      <w:pPr>
        <w:ind w:left="1440" w:hanging="360"/>
      </w:pPr>
      <w:rPr>
        <w:rFonts w:ascii="Times New Roman" w:hAnsi="Times New Roman" w:cs="Times New Roman" w:hint="default"/>
        <w:color w:val="auto"/>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677B35FE"/>
    <w:multiLevelType w:val="hybridMultilevel"/>
    <w:tmpl w:val="83781CCE"/>
    <w:lvl w:ilvl="0" w:tplc="7F52043C">
      <w:start w:val="1"/>
      <w:numFmt w:val="decimal"/>
      <w:lvlText w:val="I - %1."/>
      <w:lvlJc w:val="left"/>
      <w:pPr>
        <w:ind w:left="720" w:hanging="360"/>
      </w:pPr>
      <w:rPr>
        <w:rFonts w:hint="default"/>
        <w:lang w:val="it-I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CDF56BA"/>
    <w:multiLevelType w:val="hybridMultilevel"/>
    <w:tmpl w:val="A65CB6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A2"/>
    <w:rsid w:val="003A4CA6"/>
    <w:rsid w:val="0053144E"/>
    <w:rsid w:val="005C7179"/>
    <w:rsid w:val="00737B18"/>
    <w:rsid w:val="00804532"/>
    <w:rsid w:val="00814E59"/>
    <w:rsid w:val="008629F6"/>
    <w:rsid w:val="008961A7"/>
    <w:rsid w:val="00914C9C"/>
    <w:rsid w:val="00984EAC"/>
    <w:rsid w:val="009E3C31"/>
    <w:rsid w:val="00A56A25"/>
    <w:rsid w:val="00B650AC"/>
    <w:rsid w:val="00CA3BA2"/>
    <w:rsid w:val="00D2311D"/>
    <w:rsid w:val="00DA12BE"/>
    <w:rsid w:val="00DF747B"/>
    <w:rsid w:val="00EB604E"/>
    <w:rsid w:val="00F50783"/>
    <w:rsid w:val="00FB6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780A"/>
  <w15:chartTrackingRefBased/>
  <w15:docId w15:val="{30CF48B6-8BB8-4312-9076-FE4127F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Times New Roman" w:hAnsi="Times New Roman" w:cs="Times New Roman"/>
      <w:color w:val="000000"/>
      <w:sz w:val="24"/>
      <w:szCs w:val="24"/>
    </w:rPr>
  </w:style>
  <w:style w:type="paragraph" w:styleId="Paragrafoelenco">
    <w:name w:val="List Paragraph"/>
    <w:basedOn w:val="Normale"/>
    <w:link w:val="ParagrafoelencoCarattere"/>
    <w:uiPriority w:val="99"/>
    <w:qFormat/>
    <w:rsid w:val="00984EAC"/>
    <w:pPr>
      <w:ind w:left="720"/>
      <w:contextualSpacing/>
    </w:pPr>
  </w:style>
  <w:style w:type="character" w:customStyle="1" w:styleId="ParagrafoelencoCarattere">
    <w:name w:val="Paragrafo elenco Carattere"/>
    <w:link w:val="Paragrafoelenco"/>
    <w:uiPriority w:val="99"/>
    <w:locked/>
    <w:rsid w:val="008045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2</Pages>
  <Words>894</Words>
  <Characters>5097</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di giacomo</dc:creator>
  <cp:keywords/>
  <dc:description/>
  <cp:lastModifiedBy>Emanuele Manuel Negri</cp:lastModifiedBy>
  <cp:revision>15</cp:revision>
  <dcterms:created xsi:type="dcterms:W3CDTF">2023-02-13T17:58:00Z</dcterms:created>
  <dcterms:modified xsi:type="dcterms:W3CDTF">2023-02-15T14:54:00Z</dcterms:modified>
</cp:coreProperties>
</file>