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7030"/>
      </w:tblGrid>
      <w:tr w:rsidR="005E2918" w:rsidRPr="00CA3BA2" w14:paraId="3BB5E624" w14:textId="77777777" w:rsidTr="00B94259">
        <w:trPr>
          <w:trHeight w:val="283"/>
        </w:trPr>
        <w:tc>
          <w:tcPr>
            <w:tcW w:w="1416" w:type="pct"/>
          </w:tcPr>
          <w:p w14:paraId="40E06077" w14:textId="57411859" w:rsidR="00CA3BA2" w:rsidRPr="00CA3BA2" w:rsidRDefault="009B13F0" w:rsidP="005E2918">
            <w:pPr>
              <w:spacing w:after="0" w:line="240" w:lineRule="auto"/>
            </w:pPr>
            <w:r>
              <w:rPr>
                <w:b/>
                <w:bCs/>
              </w:rPr>
              <w:t>Titolo dello studio</w:t>
            </w:r>
          </w:p>
        </w:tc>
        <w:tc>
          <w:tcPr>
            <w:tcW w:w="3584" w:type="pct"/>
            <w:vAlign w:val="center"/>
          </w:tcPr>
          <w:p w14:paraId="7AE198F5" w14:textId="6558F424" w:rsidR="00CA3BA2" w:rsidRPr="009B13F0" w:rsidRDefault="00E827E6" w:rsidP="009B13F0">
            <w:pPr>
              <w:spacing w:after="0" w:line="240" w:lineRule="auto"/>
              <w:rPr>
                <w:rFonts w:cstheme="minorHAnsi"/>
              </w:rPr>
            </w:pPr>
            <w:r w:rsidRPr="009B13F0">
              <w:rPr>
                <w:rFonts w:cstheme="minorHAnsi"/>
              </w:rPr>
              <w:t>A MULTICENTER, OPEN-LABEL PHASE II TRIAL OF A NEW CUSTOMIZED DOSING (RATIONAL ADJUSTMENT OF DOSE TO REDUCE ADVERSE REACTIONS “RADAR” DOSING) OF NIRAPARIB AS MAINTENANCE THERAPY IN PLATINUM SENSITIVE OVARIAN, FALLOPIAN TUBE OR PRIMARY PERITONEAL RECURRENT CANCER PATIENTS</w:t>
            </w:r>
          </w:p>
        </w:tc>
      </w:tr>
      <w:tr w:rsidR="005E2918" w:rsidRPr="00CA3BA2" w14:paraId="15C63AE3" w14:textId="77777777" w:rsidTr="00B94259">
        <w:trPr>
          <w:trHeight w:val="283"/>
        </w:trPr>
        <w:tc>
          <w:tcPr>
            <w:tcW w:w="1416" w:type="pct"/>
          </w:tcPr>
          <w:p w14:paraId="4C4AC5B9" w14:textId="5042A961" w:rsidR="00CA3BA2" w:rsidRPr="00CA3BA2" w:rsidRDefault="009B13F0" w:rsidP="005E2918">
            <w:pPr>
              <w:spacing w:after="0" w:line="240" w:lineRule="auto"/>
            </w:pPr>
            <w:r>
              <w:rPr>
                <w:b/>
                <w:bCs/>
              </w:rPr>
              <w:t>Versione e data del protocollo</w:t>
            </w:r>
          </w:p>
        </w:tc>
        <w:tc>
          <w:tcPr>
            <w:tcW w:w="3584" w:type="pct"/>
            <w:vAlign w:val="center"/>
          </w:tcPr>
          <w:p w14:paraId="6B903175" w14:textId="1F611657" w:rsidR="00CA3BA2" w:rsidRPr="009B13F0" w:rsidRDefault="00E827E6" w:rsidP="009B13F0">
            <w:pPr>
              <w:spacing w:after="0" w:line="240" w:lineRule="auto"/>
              <w:rPr>
                <w:rFonts w:cstheme="minorHAnsi"/>
              </w:rPr>
            </w:pPr>
            <w:r w:rsidRPr="009B13F0">
              <w:rPr>
                <w:rFonts w:cstheme="minorHAnsi"/>
              </w:rPr>
              <w:t>3.0 del 14 giugno 2022</w:t>
            </w:r>
          </w:p>
        </w:tc>
      </w:tr>
      <w:tr w:rsidR="005E2918" w:rsidRPr="00CA3BA2" w14:paraId="27BF9170" w14:textId="77777777" w:rsidTr="00B94259">
        <w:trPr>
          <w:trHeight w:val="283"/>
        </w:trPr>
        <w:tc>
          <w:tcPr>
            <w:tcW w:w="1416" w:type="pct"/>
          </w:tcPr>
          <w:p w14:paraId="70CDC0CC" w14:textId="577CF12D" w:rsidR="00CA3BA2" w:rsidRPr="00CA3BA2" w:rsidRDefault="009B13F0" w:rsidP="005E2918">
            <w:pPr>
              <w:spacing w:after="0" w:line="240" w:lineRule="auto"/>
            </w:pPr>
            <w:r>
              <w:rPr>
                <w:b/>
                <w:bCs/>
              </w:rPr>
              <w:t>Pazienti in studio</w:t>
            </w:r>
          </w:p>
        </w:tc>
        <w:tc>
          <w:tcPr>
            <w:tcW w:w="3584" w:type="pct"/>
            <w:vAlign w:val="center"/>
          </w:tcPr>
          <w:p w14:paraId="206A4401" w14:textId="001B045D" w:rsidR="00CA3BA2" w:rsidRPr="009B13F0" w:rsidRDefault="00E827E6" w:rsidP="009B13F0">
            <w:pPr>
              <w:spacing w:after="0" w:line="240" w:lineRule="auto"/>
              <w:rPr>
                <w:rFonts w:cstheme="minorHAnsi"/>
              </w:rPr>
            </w:pPr>
            <w:r w:rsidRPr="009B13F0">
              <w:rPr>
                <w:rFonts w:cstheme="minorHAnsi"/>
              </w:rPr>
              <w:t>73</w:t>
            </w:r>
          </w:p>
        </w:tc>
      </w:tr>
      <w:tr w:rsidR="005E2918" w:rsidRPr="00CA3BA2" w14:paraId="5E3F029B" w14:textId="77777777" w:rsidTr="00B94259">
        <w:trPr>
          <w:trHeight w:val="283"/>
        </w:trPr>
        <w:tc>
          <w:tcPr>
            <w:tcW w:w="1416" w:type="pct"/>
          </w:tcPr>
          <w:p w14:paraId="7B3B3C91" w14:textId="6F3D3A04" w:rsidR="00CA3BA2" w:rsidRPr="00CA3BA2" w:rsidRDefault="00CA3BA2" w:rsidP="009B13F0">
            <w:pPr>
              <w:spacing w:after="0" w:line="240" w:lineRule="auto"/>
            </w:pPr>
            <w:r w:rsidRPr="00CA3BA2">
              <w:rPr>
                <w:b/>
                <w:bCs/>
              </w:rPr>
              <w:t>Gruppo di intervento</w:t>
            </w:r>
          </w:p>
        </w:tc>
        <w:tc>
          <w:tcPr>
            <w:tcW w:w="3584" w:type="pct"/>
            <w:vAlign w:val="center"/>
          </w:tcPr>
          <w:p w14:paraId="2A8F8070" w14:textId="6C5BF6D2" w:rsidR="00CA3BA2" w:rsidRPr="009B13F0" w:rsidRDefault="009F703F" w:rsidP="009B13F0">
            <w:pPr>
              <w:spacing w:after="0" w:line="240" w:lineRule="auto"/>
              <w:rPr>
                <w:rFonts w:cstheme="minorHAnsi"/>
              </w:rPr>
            </w:pPr>
            <w:proofErr w:type="spellStart"/>
            <w:r w:rsidRPr="009B13F0">
              <w:rPr>
                <w:rFonts w:cstheme="minorHAnsi"/>
              </w:rPr>
              <w:t>Niraparib</w:t>
            </w:r>
            <w:proofErr w:type="spellEnd"/>
            <w:r w:rsidRPr="009B13F0">
              <w:rPr>
                <w:rFonts w:cstheme="minorHAnsi"/>
              </w:rPr>
              <w:t xml:space="preserve"> 200 mg o 300 mg in base alla  conta piastrinica e peso della paziente al basale </w:t>
            </w:r>
          </w:p>
        </w:tc>
      </w:tr>
      <w:tr w:rsidR="005E2918" w:rsidRPr="00CA3BA2" w14:paraId="4CA9E9DC" w14:textId="77777777" w:rsidTr="00B94259">
        <w:trPr>
          <w:trHeight w:val="283"/>
        </w:trPr>
        <w:tc>
          <w:tcPr>
            <w:tcW w:w="1416" w:type="pct"/>
          </w:tcPr>
          <w:p w14:paraId="3253DDCF" w14:textId="40922D2A" w:rsidR="00CA3BA2" w:rsidRPr="00CA3BA2" w:rsidRDefault="009B13F0" w:rsidP="005E2918">
            <w:pPr>
              <w:spacing w:after="0" w:line="240" w:lineRule="auto"/>
            </w:pPr>
            <w:r>
              <w:rPr>
                <w:b/>
                <w:bCs/>
              </w:rPr>
              <w:t>Gruppo di controllo</w:t>
            </w:r>
          </w:p>
        </w:tc>
        <w:tc>
          <w:tcPr>
            <w:tcW w:w="3584" w:type="pct"/>
            <w:vAlign w:val="center"/>
          </w:tcPr>
          <w:p w14:paraId="56711E72" w14:textId="53B5FCE6" w:rsidR="00CA3BA2" w:rsidRPr="009B13F0" w:rsidRDefault="009F703F" w:rsidP="009B13F0">
            <w:pPr>
              <w:spacing w:after="0" w:line="240" w:lineRule="auto"/>
              <w:rPr>
                <w:rFonts w:cstheme="minorHAnsi"/>
              </w:rPr>
            </w:pPr>
            <w:proofErr w:type="spellStart"/>
            <w:r w:rsidRPr="009B13F0">
              <w:rPr>
                <w:rFonts w:cstheme="minorHAnsi"/>
              </w:rPr>
              <w:t>Niraparib</w:t>
            </w:r>
            <w:proofErr w:type="spellEnd"/>
            <w:r w:rsidRPr="009B13F0">
              <w:rPr>
                <w:rFonts w:cstheme="minorHAnsi"/>
              </w:rPr>
              <w:t xml:space="preserve"> 300 mg </w:t>
            </w:r>
          </w:p>
        </w:tc>
      </w:tr>
      <w:tr w:rsidR="005E2918" w:rsidRPr="00CA3BA2" w14:paraId="4839FD74" w14:textId="77777777" w:rsidTr="00B94259">
        <w:trPr>
          <w:trHeight w:val="283"/>
        </w:trPr>
        <w:tc>
          <w:tcPr>
            <w:tcW w:w="1416" w:type="pct"/>
          </w:tcPr>
          <w:p w14:paraId="2D7D6CB9" w14:textId="7BDFDB76" w:rsidR="00CA3BA2" w:rsidRPr="00CA3BA2" w:rsidRDefault="009B13F0" w:rsidP="005E2918">
            <w:pPr>
              <w:spacing w:after="0" w:line="240" w:lineRule="auto"/>
            </w:pPr>
            <w:r>
              <w:rPr>
                <w:b/>
                <w:bCs/>
              </w:rPr>
              <w:t>Promotore</w:t>
            </w:r>
          </w:p>
        </w:tc>
        <w:tc>
          <w:tcPr>
            <w:tcW w:w="3584" w:type="pct"/>
            <w:vAlign w:val="center"/>
          </w:tcPr>
          <w:p w14:paraId="1D099FF5" w14:textId="7B38D313" w:rsidR="00CA3BA2" w:rsidRPr="009B13F0" w:rsidRDefault="00E827E6" w:rsidP="009B13F0">
            <w:pPr>
              <w:spacing w:after="0" w:line="240" w:lineRule="auto"/>
              <w:rPr>
                <w:rFonts w:cstheme="minorHAnsi"/>
              </w:rPr>
            </w:pPr>
            <w:r w:rsidRPr="009B13F0">
              <w:rPr>
                <w:rFonts w:cstheme="minorHAnsi"/>
              </w:rPr>
              <w:t xml:space="preserve">Istituto di Ricerche </w:t>
            </w:r>
            <w:r w:rsidR="005E2918" w:rsidRPr="009B13F0">
              <w:rPr>
                <w:rFonts w:cstheme="minorHAnsi"/>
              </w:rPr>
              <w:t>F</w:t>
            </w:r>
            <w:r w:rsidRPr="009B13F0">
              <w:rPr>
                <w:rFonts w:cstheme="minorHAnsi"/>
              </w:rPr>
              <w:t>armacologiche Mario Ne</w:t>
            </w:r>
            <w:r w:rsidR="009F703F" w:rsidRPr="009B13F0">
              <w:rPr>
                <w:rFonts w:cstheme="minorHAnsi"/>
              </w:rPr>
              <w:t>gri I</w:t>
            </w:r>
            <w:r w:rsidRPr="009B13F0">
              <w:rPr>
                <w:rFonts w:cstheme="minorHAnsi"/>
              </w:rPr>
              <w:t>RCCS</w:t>
            </w:r>
          </w:p>
          <w:p w14:paraId="0B2FEA3E" w14:textId="369C0CB7" w:rsidR="009F703F" w:rsidRPr="009B13F0" w:rsidRDefault="009F703F" w:rsidP="009B13F0">
            <w:pPr>
              <w:spacing w:after="0" w:line="240" w:lineRule="auto"/>
              <w:rPr>
                <w:rFonts w:cstheme="minorHAnsi"/>
              </w:rPr>
            </w:pPr>
            <w:r w:rsidRPr="009B13F0">
              <w:rPr>
                <w:rFonts w:cstheme="minorHAnsi"/>
              </w:rPr>
              <w:t>Via Mario Negri 2</w:t>
            </w:r>
            <w:r w:rsidR="007526C5" w:rsidRPr="009B13F0">
              <w:rPr>
                <w:rFonts w:cstheme="minorHAnsi"/>
              </w:rPr>
              <w:t xml:space="preserve">. </w:t>
            </w:r>
            <w:r w:rsidRPr="009B13F0">
              <w:rPr>
                <w:rFonts w:cstheme="minorHAnsi"/>
              </w:rPr>
              <w:t>20156 Milano</w:t>
            </w:r>
          </w:p>
        </w:tc>
      </w:tr>
      <w:tr w:rsidR="005E2918" w:rsidRPr="00CA3BA2" w14:paraId="3B3E0D64" w14:textId="77777777" w:rsidTr="00B94259">
        <w:trPr>
          <w:trHeight w:val="283"/>
        </w:trPr>
        <w:tc>
          <w:tcPr>
            <w:tcW w:w="1416" w:type="pct"/>
          </w:tcPr>
          <w:p w14:paraId="73BD1611" w14:textId="717B54DF" w:rsidR="00CA3BA2" w:rsidRPr="00CA3BA2" w:rsidRDefault="009B13F0" w:rsidP="005E2918">
            <w:pPr>
              <w:spacing w:after="0" w:line="240" w:lineRule="auto"/>
            </w:pPr>
            <w:r>
              <w:rPr>
                <w:b/>
                <w:bCs/>
              </w:rPr>
              <w:t>Centro Coordinatore</w:t>
            </w:r>
          </w:p>
        </w:tc>
        <w:tc>
          <w:tcPr>
            <w:tcW w:w="3584" w:type="pct"/>
            <w:vAlign w:val="center"/>
          </w:tcPr>
          <w:p w14:paraId="26866244" w14:textId="6A32525F" w:rsidR="006C1C6A" w:rsidRPr="009B13F0" w:rsidRDefault="006C1C6A" w:rsidP="009B13F0">
            <w:pPr>
              <w:pStyle w:val="Corpo"/>
              <w:pBdr>
                <w:top w:val="none" w:sz="0" w:space="0" w:color="auto"/>
                <w:left w:val="none" w:sz="0" w:space="0" w:color="auto"/>
                <w:bottom w:val="none" w:sz="0" w:space="0" w:color="auto"/>
                <w:right w:val="none" w:sz="0" w:space="0" w:color="auto"/>
                <w:bar w:val="none" w:sz="0" w:color="auto"/>
              </w:pBdr>
              <w:spacing w:before="0" w:line="240" w:lineRule="auto"/>
              <w:jc w:val="left"/>
              <w:rPr>
                <w:rFonts w:asciiTheme="minorHAnsi" w:hAnsiTheme="minorHAnsi" w:cstheme="minorHAnsi"/>
              </w:rPr>
            </w:pPr>
            <w:r w:rsidRPr="009B13F0">
              <w:rPr>
                <w:rFonts w:asciiTheme="minorHAnsi" w:hAnsiTheme="minorHAnsi" w:cstheme="minorHAnsi"/>
              </w:rPr>
              <w:t xml:space="preserve">Istituto Europeo di Oncologia </w:t>
            </w:r>
          </w:p>
          <w:p w14:paraId="0407D333" w14:textId="65B21F5D" w:rsidR="004F42B2" w:rsidRPr="009B13F0" w:rsidRDefault="004F42B2" w:rsidP="009B13F0">
            <w:pPr>
              <w:spacing w:after="0" w:line="240" w:lineRule="auto"/>
              <w:rPr>
                <w:rFonts w:cstheme="minorHAnsi"/>
              </w:rPr>
            </w:pPr>
            <w:r w:rsidRPr="009B13F0">
              <w:rPr>
                <w:rFonts w:cstheme="minorHAnsi"/>
              </w:rPr>
              <w:t>Via Ripamonti 435</w:t>
            </w:r>
            <w:r w:rsidR="007526C5" w:rsidRPr="009B13F0">
              <w:rPr>
                <w:rFonts w:cstheme="minorHAnsi"/>
              </w:rPr>
              <w:t xml:space="preserve">. </w:t>
            </w:r>
            <w:r w:rsidRPr="009B13F0">
              <w:rPr>
                <w:rFonts w:cstheme="minorHAnsi"/>
              </w:rPr>
              <w:t>20141 Milano</w:t>
            </w:r>
          </w:p>
        </w:tc>
      </w:tr>
      <w:tr w:rsidR="005E2918" w:rsidRPr="00CA3BA2" w14:paraId="60CC6C5C" w14:textId="77777777" w:rsidTr="00B94259">
        <w:trPr>
          <w:trHeight w:val="283"/>
        </w:trPr>
        <w:tc>
          <w:tcPr>
            <w:tcW w:w="1416" w:type="pct"/>
          </w:tcPr>
          <w:p w14:paraId="56948234" w14:textId="77777777" w:rsidR="00CA3BA2" w:rsidRPr="00CA3BA2" w:rsidRDefault="00CA3BA2" w:rsidP="005E2918">
            <w:pPr>
              <w:spacing w:after="0" w:line="240" w:lineRule="auto"/>
            </w:pPr>
            <w:proofErr w:type="spellStart"/>
            <w:r w:rsidRPr="00CA3BA2">
              <w:rPr>
                <w:b/>
                <w:bCs/>
              </w:rPr>
              <w:t>Clinical</w:t>
            </w:r>
            <w:proofErr w:type="spellEnd"/>
            <w:r w:rsidRPr="00CA3BA2">
              <w:rPr>
                <w:b/>
                <w:bCs/>
              </w:rPr>
              <w:t xml:space="preserve"> </w:t>
            </w:r>
            <w:proofErr w:type="spellStart"/>
            <w:r w:rsidRPr="00CA3BA2">
              <w:rPr>
                <w:b/>
                <w:bCs/>
              </w:rPr>
              <w:t>Research</w:t>
            </w:r>
            <w:proofErr w:type="spellEnd"/>
            <w:r w:rsidRPr="00CA3BA2">
              <w:rPr>
                <w:b/>
                <w:bCs/>
              </w:rPr>
              <w:t xml:space="preserve"> </w:t>
            </w:r>
          </w:p>
          <w:p w14:paraId="1A53ECAB" w14:textId="2D71338F" w:rsidR="00CA3BA2" w:rsidRPr="00CA3BA2" w:rsidRDefault="009B13F0" w:rsidP="005E2918">
            <w:pPr>
              <w:spacing w:after="0" w:line="240" w:lineRule="auto"/>
            </w:pPr>
            <w:r>
              <w:rPr>
                <w:b/>
                <w:bCs/>
              </w:rPr>
              <w:t>Organization (CRO)</w:t>
            </w:r>
          </w:p>
        </w:tc>
        <w:tc>
          <w:tcPr>
            <w:tcW w:w="3584" w:type="pct"/>
            <w:vAlign w:val="center"/>
          </w:tcPr>
          <w:p w14:paraId="20AB258E" w14:textId="0151FFB1" w:rsidR="00CA3BA2" w:rsidRPr="009B13F0" w:rsidRDefault="00E827E6" w:rsidP="009B13F0">
            <w:pPr>
              <w:spacing w:after="0" w:line="240" w:lineRule="auto"/>
              <w:rPr>
                <w:rFonts w:cstheme="minorHAnsi"/>
              </w:rPr>
            </w:pPr>
            <w:r w:rsidRPr="009B13F0">
              <w:rPr>
                <w:rFonts w:cstheme="minorHAnsi"/>
              </w:rPr>
              <w:t>NA</w:t>
            </w:r>
          </w:p>
        </w:tc>
      </w:tr>
      <w:tr w:rsidR="005E2918" w:rsidRPr="00CA3BA2" w14:paraId="4CF918B9" w14:textId="77777777" w:rsidTr="00B94259">
        <w:trPr>
          <w:trHeight w:val="283"/>
        </w:trPr>
        <w:tc>
          <w:tcPr>
            <w:tcW w:w="1416" w:type="pct"/>
          </w:tcPr>
          <w:p w14:paraId="1D65F2F8" w14:textId="59D39703" w:rsidR="00CA3BA2" w:rsidRPr="00CA3BA2" w:rsidRDefault="009B13F0" w:rsidP="005E2918">
            <w:pPr>
              <w:spacing w:after="0" w:line="240" w:lineRule="auto"/>
            </w:pPr>
            <w:r>
              <w:rPr>
                <w:b/>
                <w:bCs/>
              </w:rPr>
              <w:t>Centri partecipanti</w:t>
            </w:r>
          </w:p>
        </w:tc>
        <w:tc>
          <w:tcPr>
            <w:tcW w:w="3584" w:type="pct"/>
            <w:vAlign w:val="center"/>
          </w:tcPr>
          <w:p w14:paraId="6B26DCFF" w14:textId="1F76051B" w:rsidR="00CA3BA2" w:rsidRPr="009B13F0" w:rsidRDefault="00E827E6" w:rsidP="009B13F0">
            <w:pPr>
              <w:spacing w:after="0" w:line="240" w:lineRule="auto"/>
              <w:rPr>
                <w:rFonts w:cstheme="minorHAnsi"/>
              </w:rPr>
            </w:pPr>
            <w:r w:rsidRPr="009B13F0">
              <w:rPr>
                <w:rFonts w:cstheme="minorHAnsi"/>
              </w:rPr>
              <w:t>12</w:t>
            </w:r>
          </w:p>
        </w:tc>
      </w:tr>
      <w:tr w:rsidR="005E2918" w:rsidRPr="00CA3BA2" w14:paraId="0839966E" w14:textId="77777777" w:rsidTr="00B94259">
        <w:trPr>
          <w:trHeight w:val="283"/>
        </w:trPr>
        <w:tc>
          <w:tcPr>
            <w:tcW w:w="1416" w:type="pct"/>
          </w:tcPr>
          <w:p w14:paraId="0B36553D" w14:textId="506AD5CD" w:rsidR="00CA3BA2" w:rsidRPr="00CA3BA2" w:rsidRDefault="009B13F0" w:rsidP="005E2918">
            <w:pPr>
              <w:spacing w:after="0" w:line="240" w:lineRule="auto"/>
            </w:pPr>
            <w:r>
              <w:rPr>
                <w:b/>
                <w:bCs/>
              </w:rPr>
              <w:t>Numero di soggetti</w:t>
            </w:r>
          </w:p>
        </w:tc>
        <w:tc>
          <w:tcPr>
            <w:tcW w:w="3584" w:type="pct"/>
            <w:vAlign w:val="center"/>
          </w:tcPr>
          <w:p w14:paraId="3E70CB71" w14:textId="2F02926E" w:rsidR="00CA3BA2" w:rsidRPr="009B13F0" w:rsidRDefault="00E827E6" w:rsidP="009B13F0">
            <w:pPr>
              <w:spacing w:after="0" w:line="240" w:lineRule="auto"/>
              <w:rPr>
                <w:rFonts w:cstheme="minorHAnsi"/>
              </w:rPr>
            </w:pPr>
            <w:r w:rsidRPr="009B13F0">
              <w:rPr>
                <w:rFonts w:cstheme="minorHAnsi"/>
              </w:rPr>
              <w:t>105</w:t>
            </w:r>
          </w:p>
        </w:tc>
      </w:tr>
      <w:tr w:rsidR="005E2918" w:rsidRPr="00CA3BA2" w14:paraId="2237CA64" w14:textId="77777777" w:rsidTr="00B94259">
        <w:trPr>
          <w:trHeight w:val="283"/>
        </w:trPr>
        <w:tc>
          <w:tcPr>
            <w:tcW w:w="1416" w:type="pct"/>
          </w:tcPr>
          <w:p w14:paraId="244CAE6A" w14:textId="1513964B" w:rsidR="00CA3BA2" w:rsidRPr="00CA3BA2" w:rsidRDefault="005E2918" w:rsidP="005E2918">
            <w:pPr>
              <w:spacing w:after="0" w:line="240" w:lineRule="auto"/>
            </w:pPr>
            <w:r>
              <w:rPr>
                <w:b/>
                <w:bCs/>
              </w:rPr>
              <w:t>Durata dello studio</w:t>
            </w:r>
          </w:p>
        </w:tc>
        <w:tc>
          <w:tcPr>
            <w:tcW w:w="3584" w:type="pct"/>
            <w:vAlign w:val="center"/>
          </w:tcPr>
          <w:p w14:paraId="2CCBD1AE" w14:textId="422C78AD" w:rsidR="005E2918" w:rsidRPr="009B13F0" w:rsidRDefault="005E2918" w:rsidP="009B13F0">
            <w:pPr>
              <w:spacing w:after="0" w:line="240" w:lineRule="auto"/>
              <w:rPr>
                <w:rFonts w:cstheme="minorHAnsi"/>
              </w:rPr>
            </w:pPr>
            <w:r w:rsidRPr="009B13F0">
              <w:rPr>
                <w:rFonts w:cstheme="minorHAnsi"/>
              </w:rPr>
              <w:t>42 mesi</w:t>
            </w:r>
          </w:p>
        </w:tc>
      </w:tr>
      <w:tr w:rsidR="005E2918" w:rsidRPr="00CA3BA2" w14:paraId="47082B7A" w14:textId="77777777" w:rsidTr="00B94259">
        <w:trPr>
          <w:trHeight w:val="283"/>
        </w:trPr>
        <w:tc>
          <w:tcPr>
            <w:tcW w:w="1416" w:type="pct"/>
          </w:tcPr>
          <w:p w14:paraId="515C316C" w14:textId="6324EE6B" w:rsidR="00CA3BA2" w:rsidRPr="00CA3BA2" w:rsidRDefault="009B13F0" w:rsidP="005E2918">
            <w:pPr>
              <w:spacing w:after="0" w:line="240" w:lineRule="auto"/>
            </w:pPr>
            <w:r>
              <w:rPr>
                <w:b/>
                <w:bCs/>
              </w:rPr>
              <w:t>Periodo di arruolamento</w:t>
            </w:r>
          </w:p>
        </w:tc>
        <w:tc>
          <w:tcPr>
            <w:tcW w:w="3584" w:type="pct"/>
            <w:vAlign w:val="center"/>
          </w:tcPr>
          <w:p w14:paraId="58E0E6EE" w14:textId="010E8D77" w:rsidR="00CA3BA2" w:rsidRPr="009B13F0" w:rsidRDefault="00E827E6" w:rsidP="009B13F0">
            <w:pPr>
              <w:spacing w:after="0" w:line="240" w:lineRule="auto"/>
              <w:rPr>
                <w:rFonts w:cstheme="minorHAnsi"/>
              </w:rPr>
            </w:pPr>
            <w:r w:rsidRPr="009B13F0">
              <w:rPr>
                <w:rFonts w:cstheme="minorHAnsi"/>
              </w:rPr>
              <w:t xml:space="preserve">18 mesi </w:t>
            </w:r>
          </w:p>
        </w:tc>
      </w:tr>
      <w:tr w:rsidR="005E2918" w:rsidRPr="00CA3BA2" w14:paraId="0D42033D" w14:textId="77777777" w:rsidTr="00B94259">
        <w:trPr>
          <w:trHeight w:val="283"/>
        </w:trPr>
        <w:tc>
          <w:tcPr>
            <w:tcW w:w="1416" w:type="pct"/>
          </w:tcPr>
          <w:p w14:paraId="1F78BA31" w14:textId="6DCFB9CD" w:rsidR="00CA3BA2" w:rsidRPr="00CA3BA2" w:rsidRDefault="009B13F0" w:rsidP="005E2918">
            <w:pPr>
              <w:spacing w:after="0" w:line="240" w:lineRule="auto"/>
            </w:pPr>
            <w:r>
              <w:rPr>
                <w:b/>
                <w:bCs/>
              </w:rPr>
              <w:t>Disegno dello studio</w:t>
            </w:r>
          </w:p>
        </w:tc>
        <w:tc>
          <w:tcPr>
            <w:tcW w:w="3584" w:type="pct"/>
            <w:vAlign w:val="center"/>
          </w:tcPr>
          <w:p w14:paraId="4D5C64F0" w14:textId="77777777" w:rsidR="00E827E6" w:rsidRPr="009B13F0" w:rsidRDefault="00E827E6" w:rsidP="009B13F0">
            <w:pPr>
              <w:spacing w:after="0" w:line="240" w:lineRule="auto"/>
              <w:rPr>
                <w:rFonts w:cstheme="minorHAnsi"/>
              </w:rPr>
            </w:pPr>
            <w:r w:rsidRPr="009B13F0">
              <w:rPr>
                <w:rFonts w:cstheme="minorHAnsi"/>
              </w:rPr>
              <w:t>Studio clinico di fase II caratterizzato da una parte randomizzata ed una non randomizzata.</w:t>
            </w:r>
          </w:p>
          <w:p w14:paraId="6C992FAA" w14:textId="77777777" w:rsidR="00E827E6" w:rsidRPr="009B13F0" w:rsidRDefault="00E827E6" w:rsidP="009B13F0">
            <w:pPr>
              <w:spacing w:after="0" w:line="240" w:lineRule="auto"/>
              <w:rPr>
                <w:rFonts w:cstheme="minorHAnsi"/>
              </w:rPr>
            </w:pPr>
            <w:r w:rsidRPr="009B13F0">
              <w:rPr>
                <w:rFonts w:cstheme="minorHAnsi"/>
                <w:u w:val="single"/>
              </w:rPr>
              <w:t>Parte randomizzata:</w:t>
            </w:r>
            <w:r w:rsidRPr="009B13F0">
              <w:rPr>
                <w:rFonts w:cstheme="minorHAnsi"/>
              </w:rPr>
              <w:t xml:space="preserve"> le pazienti che presentano un peso corporeo basale ≥58 e &lt;77kg, o che hanno un peso corporeo ≥77kg e una conta piastrinica al basale &lt;150.000 /µL (definita popolazione ristretta) saranno randomizzate a ricevere il dosaggio RADAR o la dose di 300 mg. Il confronto randomizzato è ristretto a questa specifica popolazione </w:t>
            </w:r>
            <w:proofErr w:type="spellStart"/>
            <w:r w:rsidRPr="009B13F0">
              <w:rPr>
                <w:rFonts w:cstheme="minorHAnsi"/>
              </w:rPr>
              <w:t>poichè</w:t>
            </w:r>
            <w:proofErr w:type="spellEnd"/>
            <w:r w:rsidRPr="009B13F0">
              <w:rPr>
                <w:rFonts w:cstheme="minorHAnsi"/>
              </w:rPr>
              <w:t xml:space="preserve"> solamente nelle pazienti con queste caratteristiche le dosi iniziali sono differenti tra il regime RADAR (200mg al giorno) e quello approvato nell’RCP (300 mg al giorno). Per il resto delle pazienti, sia la strategia di trattamento RADAR che quella approvata nell’RCP hanno dosi iniziali uguali. </w:t>
            </w:r>
          </w:p>
          <w:p w14:paraId="4BC67CDA" w14:textId="77777777" w:rsidR="00E827E6" w:rsidRPr="009B13F0" w:rsidRDefault="00E827E6" w:rsidP="009B13F0">
            <w:pPr>
              <w:spacing w:after="0" w:line="240" w:lineRule="auto"/>
              <w:rPr>
                <w:rFonts w:cstheme="minorHAnsi"/>
              </w:rPr>
            </w:pPr>
            <w:r w:rsidRPr="009B13F0">
              <w:rPr>
                <w:rFonts w:cstheme="minorHAnsi"/>
              </w:rPr>
              <w:t xml:space="preserve">La randomizzazione sarà 1:1 e si baserà su una procedura di minimizzazione che terrà conto dei seguenti fattori: </w:t>
            </w:r>
          </w:p>
          <w:p w14:paraId="18B086D9" w14:textId="0930A66A" w:rsidR="00E827E6" w:rsidRPr="009B13F0" w:rsidRDefault="00E827E6" w:rsidP="009B13F0">
            <w:pPr>
              <w:pStyle w:val="Paragrafoelenco"/>
              <w:numPr>
                <w:ilvl w:val="0"/>
                <w:numId w:val="6"/>
              </w:numPr>
              <w:spacing w:after="0" w:line="240" w:lineRule="auto"/>
              <w:ind w:left="579" w:hanging="425"/>
              <w:rPr>
                <w:rFonts w:cstheme="minorHAnsi"/>
              </w:rPr>
            </w:pPr>
            <w:r w:rsidRPr="009B13F0">
              <w:rPr>
                <w:rFonts w:cstheme="minorHAnsi"/>
              </w:rPr>
              <w:t xml:space="preserve">sensibilità al platino (da 6 a &lt;12 mesi vs ≥12 mesi); </w:t>
            </w:r>
          </w:p>
          <w:p w14:paraId="4731E988" w14:textId="709B9789" w:rsidR="00E827E6" w:rsidRPr="009B13F0" w:rsidRDefault="00E827E6" w:rsidP="009B13F0">
            <w:pPr>
              <w:pStyle w:val="Paragrafoelenco"/>
              <w:numPr>
                <w:ilvl w:val="0"/>
                <w:numId w:val="6"/>
              </w:numPr>
              <w:spacing w:after="0" w:line="240" w:lineRule="auto"/>
              <w:ind w:left="579" w:hanging="425"/>
              <w:rPr>
                <w:rFonts w:cstheme="minorHAnsi"/>
              </w:rPr>
            </w:pPr>
            <w:r w:rsidRPr="009B13F0">
              <w:rPr>
                <w:rFonts w:cstheme="minorHAnsi"/>
              </w:rPr>
              <w:t xml:space="preserve">l’utilizzo di </w:t>
            </w:r>
            <w:proofErr w:type="spellStart"/>
            <w:r w:rsidRPr="009B13F0">
              <w:rPr>
                <w:rFonts w:cstheme="minorHAnsi"/>
              </w:rPr>
              <w:t>bevacizumab</w:t>
            </w:r>
            <w:proofErr w:type="spellEnd"/>
            <w:r w:rsidRPr="009B13F0">
              <w:rPr>
                <w:rFonts w:cstheme="minorHAnsi"/>
              </w:rPr>
              <w:t xml:space="preserve"> concomitante alla penultima linea di terapia a base di platino; </w:t>
            </w:r>
          </w:p>
          <w:p w14:paraId="60D8D0CF" w14:textId="7B050EC3" w:rsidR="00E827E6" w:rsidRPr="009B13F0" w:rsidRDefault="00E827E6" w:rsidP="009B13F0">
            <w:pPr>
              <w:pStyle w:val="Paragrafoelenco"/>
              <w:numPr>
                <w:ilvl w:val="0"/>
                <w:numId w:val="6"/>
              </w:numPr>
              <w:spacing w:after="0" w:line="240" w:lineRule="auto"/>
              <w:ind w:left="579" w:hanging="425"/>
              <w:rPr>
                <w:rFonts w:cstheme="minorHAnsi"/>
              </w:rPr>
            </w:pPr>
            <w:r w:rsidRPr="009B13F0">
              <w:rPr>
                <w:rFonts w:cstheme="minorHAnsi"/>
              </w:rPr>
              <w:t xml:space="preserve">la migliore risposta (parziale o completa) durante l’ultima linea di trattamento con platino. </w:t>
            </w:r>
          </w:p>
          <w:p w14:paraId="78CF7D32" w14:textId="77777777" w:rsidR="00E827E6" w:rsidRPr="009B13F0" w:rsidRDefault="00E827E6" w:rsidP="009B13F0">
            <w:pPr>
              <w:spacing w:after="0" w:line="240" w:lineRule="auto"/>
              <w:rPr>
                <w:rFonts w:cstheme="minorHAnsi"/>
              </w:rPr>
            </w:pPr>
            <w:r w:rsidRPr="009B13F0">
              <w:rPr>
                <w:rFonts w:cstheme="minorHAnsi"/>
                <w:u w:val="single"/>
              </w:rPr>
              <w:t>Parte non randomizzata:</w:t>
            </w:r>
            <w:r w:rsidRPr="009B13F0">
              <w:rPr>
                <w:rFonts w:cstheme="minorHAnsi"/>
              </w:rPr>
              <w:t xml:space="preserve"> le pazienti con un peso &lt;58 o ≥77 kg e una conta piastrinica al basale ≥150.000/µL saranno arruolate nello studio e assumeranno il trattamento secondo lo schema RADAR ma non saranno randomizzate.</w:t>
            </w:r>
          </w:p>
          <w:p w14:paraId="758BBF97" w14:textId="4B02EBDD" w:rsidR="00CA3BA2" w:rsidRPr="009B13F0" w:rsidRDefault="00E827E6" w:rsidP="009B13F0">
            <w:pPr>
              <w:spacing w:after="0" w:line="240" w:lineRule="auto"/>
              <w:rPr>
                <w:rFonts w:cstheme="minorHAnsi"/>
              </w:rPr>
            </w:pPr>
            <w:r w:rsidRPr="009B13F0">
              <w:rPr>
                <w:rFonts w:cstheme="minorHAnsi"/>
              </w:rPr>
              <w:t xml:space="preserve">Quindi, tutta la coorte RADAR sarà composta dalle pazienti a cui è stato assegnato il dosaggio RADAR sia mediante randomizzazione o no. Al fine di un ottimale confronto indiretto, e </w:t>
            </w:r>
            <w:proofErr w:type="spellStart"/>
            <w:r w:rsidRPr="009B13F0">
              <w:rPr>
                <w:rFonts w:cstheme="minorHAnsi"/>
              </w:rPr>
              <w:t>affinchè</w:t>
            </w:r>
            <w:proofErr w:type="spellEnd"/>
            <w:r w:rsidRPr="009B13F0">
              <w:rPr>
                <w:rFonts w:cstheme="minorHAnsi"/>
              </w:rPr>
              <w:t xml:space="preserve"> tutta la popolazione RADAR abbia una distribuzione delle pazienti in quartili di peso paragonabili a quelle dello studio NOVA, l’arruolamento </w:t>
            </w:r>
            <w:proofErr w:type="spellStart"/>
            <w:r w:rsidRPr="009B13F0">
              <w:rPr>
                <w:rFonts w:cstheme="minorHAnsi"/>
              </w:rPr>
              <w:t>prevederà</w:t>
            </w:r>
            <w:proofErr w:type="spellEnd"/>
            <w:r w:rsidRPr="009B13F0">
              <w:rPr>
                <w:rFonts w:cstheme="minorHAnsi"/>
              </w:rPr>
              <w:t xml:space="preserve"> un limite alla numerosità nel gruppo di pazienti che rientrano nel quartile di peso più basso (&lt;58 kg) e in quello con quartile di peso più alto (&gt;77 Kg).</w:t>
            </w:r>
          </w:p>
        </w:tc>
      </w:tr>
      <w:tr w:rsidR="005E2918" w:rsidRPr="00CA3BA2" w14:paraId="13B895AA" w14:textId="77777777" w:rsidTr="00B94259">
        <w:trPr>
          <w:trHeight w:val="283"/>
        </w:trPr>
        <w:tc>
          <w:tcPr>
            <w:tcW w:w="1416" w:type="pct"/>
          </w:tcPr>
          <w:p w14:paraId="3882E68B" w14:textId="107369B4" w:rsidR="00CA3BA2" w:rsidRPr="00CA3BA2" w:rsidRDefault="009B13F0" w:rsidP="005E2918">
            <w:pPr>
              <w:spacing w:after="0" w:line="240" w:lineRule="auto"/>
            </w:pPr>
            <w:r>
              <w:rPr>
                <w:b/>
                <w:bCs/>
              </w:rPr>
              <w:lastRenderedPageBreak/>
              <w:t>Obiettivo primario</w:t>
            </w:r>
          </w:p>
        </w:tc>
        <w:tc>
          <w:tcPr>
            <w:tcW w:w="3584" w:type="pct"/>
            <w:vAlign w:val="center"/>
          </w:tcPr>
          <w:p w14:paraId="3B5B0CD6" w14:textId="77777777" w:rsidR="00E827E6" w:rsidRPr="009B13F0" w:rsidRDefault="00E827E6" w:rsidP="009B13F0">
            <w:pPr>
              <w:spacing w:after="0" w:line="240" w:lineRule="auto"/>
              <w:rPr>
                <w:rFonts w:cstheme="minorHAnsi"/>
              </w:rPr>
            </w:pPr>
            <w:r w:rsidRPr="009B13F0">
              <w:rPr>
                <w:rFonts w:cstheme="minorHAnsi"/>
              </w:rPr>
              <w:t xml:space="preserve">Gli obiettivi primari dello studio sono: </w:t>
            </w:r>
          </w:p>
          <w:p w14:paraId="2F084E07" w14:textId="2CF5A428" w:rsidR="00E827E6" w:rsidRPr="009B13F0" w:rsidRDefault="00E827E6" w:rsidP="009B13F0">
            <w:pPr>
              <w:pStyle w:val="Paragrafoelenco"/>
              <w:numPr>
                <w:ilvl w:val="0"/>
                <w:numId w:val="18"/>
              </w:numPr>
              <w:spacing w:after="0" w:line="240" w:lineRule="auto"/>
              <w:ind w:left="579" w:hanging="425"/>
              <w:rPr>
                <w:rFonts w:cstheme="minorHAnsi"/>
              </w:rPr>
            </w:pPr>
            <w:r w:rsidRPr="009B13F0">
              <w:rPr>
                <w:rFonts w:cstheme="minorHAnsi"/>
              </w:rPr>
              <w:t xml:space="preserve">Confrontare il profilo di sicurezza del dosaggio RADAR in termini di frequenza di trombocitopenia di grado ≥ 3 durante i primi tre cicli con la dose approvata di 300 mg. Tale confronto sarà effettuato nelle pazienti con peso corporeo ≥58 kg e &lt; 77kg o pazienti con peso corporeo ≥77kg e una conta piastrinica al basale &lt;150.000 /µL (popolazione ristretta)  </w:t>
            </w:r>
          </w:p>
          <w:p w14:paraId="10D342DB" w14:textId="4679B377" w:rsidR="00CA3BA2" w:rsidRPr="009B13F0" w:rsidRDefault="00E827E6" w:rsidP="009B13F0">
            <w:pPr>
              <w:pStyle w:val="Paragrafoelenco"/>
              <w:numPr>
                <w:ilvl w:val="0"/>
                <w:numId w:val="18"/>
              </w:numPr>
              <w:spacing w:after="0" w:line="240" w:lineRule="auto"/>
              <w:ind w:left="579" w:hanging="425"/>
              <w:rPr>
                <w:rFonts w:cstheme="minorHAnsi"/>
              </w:rPr>
            </w:pPr>
            <w:r w:rsidRPr="009B13F0">
              <w:rPr>
                <w:rFonts w:cstheme="minorHAnsi"/>
              </w:rPr>
              <w:t xml:space="preserve">Valutare il miglioramento del profilo di sicurezza del  dosaggio RADAR di </w:t>
            </w:r>
            <w:proofErr w:type="spellStart"/>
            <w:r w:rsidRPr="009B13F0">
              <w:rPr>
                <w:rFonts w:cstheme="minorHAnsi"/>
              </w:rPr>
              <w:t>niraparib</w:t>
            </w:r>
            <w:proofErr w:type="spellEnd"/>
            <w:r w:rsidRPr="009B13F0">
              <w:rPr>
                <w:rFonts w:cstheme="minorHAnsi"/>
              </w:rPr>
              <w:t xml:space="preserve"> in termini di occorrenza di trombocitopenia di grado ≥ 3 nei primi tre cicli in confronto alla tossicità riscontrata nello studio ENGOT-OV16/NOVA</w:t>
            </w:r>
          </w:p>
        </w:tc>
      </w:tr>
      <w:tr w:rsidR="005E2918" w14:paraId="34FCC838" w14:textId="77777777" w:rsidTr="00B94259">
        <w:trPr>
          <w:trHeight w:val="283"/>
        </w:trPr>
        <w:tc>
          <w:tcPr>
            <w:tcW w:w="1416" w:type="pct"/>
          </w:tcPr>
          <w:p w14:paraId="1EE60827" w14:textId="5375957B" w:rsidR="00CA3BA2" w:rsidRPr="00CA3BA2" w:rsidRDefault="009B13F0" w:rsidP="005E2918">
            <w:pPr>
              <w:spacing w:after="0" w:line="240" w:lineRule="auto"/>
              <w:rPr>
                <w:b/>
                <w:bCs/>
              </w:rPr>
            </w:pPr>
            <w:r>
              <w:rPr>
                <w:b/>
                <w:bCs/>
              </w:rPr>
              <w:t>Obiettivi secondari</w:t>
            </w:r>
          </w:p>
        </w:tc>
        <w:tc>
          <w:tcPr>
            <w:tcW w:w="3584" w:type="pct"/>
            <w:vAlign w:val="center"/>
          </w:tcPr>
          <w:p w14:paraId="0B3121B6" w14:textId="58A0EE95" w:rsidR="00E827E6" w:rsidRPr="009B13F0" w:rsidRDefault="00E827E6" w:rsidP="009B13F0">
            <w:pPr>
              <w:spacing w:after="0" w:line="240" w:lineRule="auto"/>
              <w:rPr>
                <w:rFonts w:cstheme="minorHAnsi"/>
              </w:rPr>
            </w:pPr>
            <w:r w:rsidRPr="009B13F0">
              <w:rPr>
                <w:rFonts w:cstheme="minorHAnsi"/>
              </w:rPr>
              <w:t>Ulteriori obiettivi secondari includono:</w:t>
            </w:r>
          </w:p>
          <w:p w14:paraId="76E6FC96" w14:textId="268FB423" w:rsidR="00E827E6" w:rsidRPr="009B13F0" w:rsidRDefault="00E827E6" w:rsidP="009B13F0">
            <w:pPr>
              <w:pStyle w:val="Paragrafoelenco"/>
              <w:numPr>
                <w:ilvl w:val="0"/>
                <w:numId w:val="15"/>
              </w:numPr>
              <w:spacing w:after="0" w:line="240" w:lineRule="auto"/>
              <w:ind w:left="579" w:hanging="438"/>
              <w:rPr>
                <w:rFonts w:cstheme="minorHAnsi"/>
              </w:rPr>
            </w:pPr>
            <w:r w:rsidRPr="009B13F0">
              <w:rPr>
                <w:rFonts w:cstheme="minorHAnsi"/>
              </w:rPr>
              <w:t xml:space="preserve">Confrontare l’efficacia del dosaggio RADAR di </w:t>
            </w:r>
            <w:proofErr w:type="spellStart"/>
            <w:r w:rsidRPr="009B13F0">
              <w:rPr>
                <w:rFonts w:cstheme="minorHAnsi"/>
              </w:rPr>
              <w:t>niraparib</w:t>
            </w:r>
            <w:proofErr w:type="spellEnd"/>
            <w:r w:rsidRPr="009B13F0">
              <w:rPr>
                <w:rFonts w:cstheme="minorHAnsi"/>
              </w:rPr>
              <w:t xml:space="preserve"> con la dose approvata di 300 mg (popolazione ristretta). </w:t>
            </w:r>
          </w:p>
          <w:p w14:paraId="7376C3E8" w14:textId="06F0DF60" w:rsidR="00267CAC" w:rsidRPr="009B13F0" w:rsidRDefault="00E827E6" w:rsidP="009B13F0">
            <w:pPr>
              <w:pStyle w:val="Paragrafoelenco"/>
              <w:numPr>
                <w:ilvl w:val="0"/>
                <w:numId w:val="15"/>
              </w:numPr>
              <w:spacing w:after="0" w:line="240" w:lineRule="auto"/>
              <w:ind w:left="579" w:hanging="438"/>
              <w:rPr>
                <w:rFonts w:cstheme="minorHAnsi"/>
              </w:rPr>
            </w:pPr>
            <w:r w:rsidRPr="009B13F0">
              <w:rPr>
                <w:rFonts w:cstheme="minorHAnsi"/>
              </w:rPr>
              <w:t xml:space="preserve">Valutare l’efficacia del dosaggio RADAR di </w:t>
            </w:r>
            <w:proofErr w:type="spellStart"/>
            <w:r w:rsidRPr="009B13F0">
              <w:rPr>
                <w:rFonts w:cstheme="minorHAnsi"/>
              </w:rPr>
              <w:t>niraparib</w:t>
            </w:r>
            <w:proofErr w:type="spellEnd"/>
            <w:r w:rsidRPr="009B13F0">
              <w:rPr>
                <w:rFonts w:cstheme="minorHAnsi"/>
              </w:rPr>
              <w:t xml:space="preserve"> </w:t>
            </w:r>
          </w:p>
          <w:p w14:paraId="007D9C89" w14:textId="7D8AFEEE" w:rsidR="00E827E6" w:rsidRPr="009B13F0" w:rsidRDefault="00E827E6" w:rsidP="009B13F0">
            <w:pPr>
              <w:pStyle w:val="Paragrafoelenco"/>
              <w:numPr>
                <w:ilvl w:val="0"/>
                <w:numId w:val="15"/>
              </w:numPr>
              <w:spacing w:after="0" w:line="240" w:lineRule="auto"/>
              <w:ind w:left="579" w:hanging="438"/>
              <w:rPr>
                <w:rFonts w:cstheme="minorHAnsi"/>
              </w:rPr>
            </w:pPr>
            <w:r w:rsidRPr="009B13F0">
              <w:rPr>
                <w:rFonts w:cstheme="minorHAnsi"/>
              </w:rPr>
              <w:t xml:space="preserve">Confrontare il profilo generale di sicurezza del dosaggio RADAR di </w:t>
            </w:r>
            <w:proofErr w:type="spellStart"/>
            <w:r w:rsidRPr="009B13F0">
              <w:rPr>
                <w:rFonts w:cstheme="minorHAnsi"/>
              </w:rPr>
              <w:t>niraparib</w:t>
            </w:r>
            <w:proofErr w:type="spellEnd"/>
            <w:r w:rsidRPr="009B13F0">
              <w:rPr>
                <w:rFonts w:cstheme="minorHAnsi"/>
              </w:rPr>
              <w:t xml:space="preserve"> con la dose approvata di 300 mg (popolazione ristretta) </w:t>
            </w:r>
          </w:p>
          <w:p w14:paraId="6DEAEA17" w14:textId="382B0E5B" w:rsidR="00E827E6" w:rsidRPr="009B13F0" w:rsidRDefault="00E827E6" w:rsidP="009B13F0">
            <w:pPr>
              <w:pStyle w:val="Paragrafoelenco"/>
              <w:numPr>
                <w:ilvl w:val="0"/>
                <w:numId w:val="15"/>
              </w:numPr>
              <w:spacing w:after="0" w:line="240" w:lineRule="auto"/>
              <w:ind w:left="579" w:hanging="438"/>
              <w:rPr>
                <w:rFonts w:cstheme="minorHAnsi"/>
              </w:rPr>
            </w:pPr>
            <w:r w:rsidRPr="009B13F0">
              <w:rPr>
                <w:rFonts w:cstheme="minorHAnsi"/>
              </w:rPr>
              <w:t xml:space="preserve">Valutare il profilo di sicurezza del dosaggio RADAR di </w:t>
            </w:r>
            <w:proofErr w:type="spellStart"/>
            <w:r w:rsidRPr="009B13F0">
              <w:rPr>
                <w:rFonts w:cstheme="minorHAnsi"/>
              </w:rPr>
              <w:t>niraparib</w:t>
            </w:r>
            <w:proofErr w:type="spellEnd"/>
            <w:r w:rsidRPr="009B13F0">
              <w:rPr>
                <w:rFonts w:cstheme="minorHAnsi"/>
              </w:rPr>
              <w:t>.</w:t>
            </w:r>
          </w:p>
          <w:p w14:paraId="682368A5" w14:textId="20FC87F1" w:rsidR="00E827E6" w:rsidRPr="009B13F0" w:rsidRDefault="00E827E6" w:rsidP="009B13F0">
            <w:pPr>
              <w:pStyle w:val="Paragrafoelenco"/>
              <w:numPr>
                <w:ilvl w:val="0"/>
                <w:numId w:val="15"/>
              </w:numPr>
              <w:spacing w:after="0" w:line="240" w:lineRule="auto"/>
              <w:ind w:left="579" w:hanging="438"/>
              <w:rPr>
                <w:rFonts w:cstheme="minorHAnsi"/>
              </w:rPr>
            </w:pPr>
            <w:proofErr w:type="spellStart"/>
            <w:r w:rsidRPr="009B13F0">
              <w:rPr>
                <w:rFonts w:cstheme="minorHAnsi"/>
              </w:rPr>
              <w:t>Compliance</w:t>
            </w:r>
            <w:proofErr w:type="spellEnd"/>
            <w:r w:rsidRPr="009B13F0">
              <w:rPr>
                <w:rFonts w:cstheme="minorHAnsi"/>
              </w:rPr>
              <w:t xml:space="preserve">: valutare l’aderenza delle pazienti ai due regimi di </w:t>
            </w:r>
            <w:proofErr w:type="spellStart"/>
            <w:r w:rsidRPr="009B13F0">
              <w:rPr>
                <w:rFonts w:cstheme="minorHAnsi"/>
              </w:rPr>
              <w:t>niraparib</w:t>
            </w:r>
            <w:proofErr w:type="spellEnd"/>
            <w:r w:rsidRPr="009B13F0">
              <w:rPr>
                <w:rFonts w:cstheme="minorHAnsi"/>
              </w:rPr>
              <w:t xml:space="preserve"> (quello RADAR e quello approvato di 300 mg) in termini di dose media somministrata nei primi 6 cicli. </w:t>
            </w:r>
          </w:p>
          <w:p w14:paraId="6C4883FF" w14:textId="48A3C68F" w:rsidR="00CA3BA2" w:rsidRPr="009B13F0" w:rsidRDefault="00E827E6" w:rsidP="009B13F0">
            <w:pPr>
              <w:pStyle w:val="Paragrafoelenco"/>
              <w:numPr>
                <w:ilvl w:val="0"/>
                <w:numId w:val="15"/>
              </w:numPr>
              <w:spacing w:after="0" w:line="240" w:lineRule="auto"/>
              <w:ind w:left="579" w:hanging="438"/>
              <w:rPr>
                <w:rFonts w:cstheme="minorHAnsi"/>
              </w:rPr>
            </w:pPr>
            <w:r w:rsidRPr="009B13F0">
              <w:rPr>
                <w:rFonts w:cstheme="minorHAnsi"/>
              </w:rPr>
              <w:t xml:space="preserve">Farmacocinetica: valutare la concentrazione minima di </w:t>
            </w:r>
            <w:proofErr w:type="spellStart"/>
            <w:r w:rsidRPr="009B13F0">
              <w:rPr>
                <w:rFonts w:cstheme="minorHAnsi"/>
              </w:rPr>
              <w:t>niraparib</w:t>
            </w:r>
            <w:proofErr w:type="spellEnd"/>
            <w:r w:rsidRPr="009B13F0">
              <w:rPr>
                <w:rFonts w:cstheme="minorHAnsi"/>
              </w:rPr>
              <w:t xml:space="preserve"> allo stato stazionario attraverso la misurazione del livello minimo di concentrazione prima della somministrazione della dose successiva e del livello massimo di concentrazione (picco) rilevato a due ore dalla somministrazione. Sarà poi valutata la relazione esistente tra la concentrazione minima e massima di </w:t>
            </w:r>
            <w:proofErr w:type="spellStart"/>
            <w:r w:rsidRPr="009B13F0">
              <w:rPr>
                <w:rFonts w:cstheme="minorHAnsi"/>
              </w:rPr>
              <w:t>niraparib</w:t>
            </w:r>
            <w:proofErr w:type="spellEnd"/>
            <w:r w:rsidRPr="009B13F0">
              <w:rPr>
                <w:rFonts w:cstheme="minorHAnsi"/>
              </w:rPr>
              <w:t xml:space="preserve"> allo stato stazionario e le caratteristiche cliniche della paziente, la dose media somministrata e le tossicità registrate durante il trattamento.</w:t>
            </w:r>
          </w:p>
        </w:tc>
      </w:tr>
      <w:tr w:rsidR="005E2918" w14:paraId="24C6B998" w14:textId="77777777" w:rsidTr="00B94259">
        <w:trPr>
          <w:trHeight w:val="283"/>
        </w:trPr>
        <w:tc>
          <w:tcPr>
            <w:tcW w:w="1416" w:type="pct"/>
          </w:tcPr>
          <w:p w14:paraId="6099EC7A" w14:textId="77777777" w:rsidR="00CA3BA2" w:rsidRPr="00CA3BA2" w:rsidRDefault="00CA3BA2" w:rsidP="005E2918">
            <w:pPr>
              <w:spacing w:after="0" w:line="240" w:lineRule="auto"/>
              <w:rPr>
                <w:b/>
                <w:bCs/>
              </w:rPr>
            </w:pPr>
            <w:r>
              <w:rPr>
                <w:b/>
                <w:bCs/>
              </w:rPr>
              <w:t xml:space="preserve">Obiettivi esploratori </w:t>
            </w:r>
          </w:p>
        </w:tc>
        <w:tc>
          <w:tcPr>
            <w:tcW w:w="3584" w:type="pct"/>
            <w:vAlign w:val="center"/>
          </w:tcPr>
          <w:p w14:paraId="0C11DFE3" w14:textId="71026D51" w:rsidR="00CA3BA2" w:rsidRPr="009B13F0" w:rsidRDefault="009F703F" w:rsidP="009B13F0">
            <w:pPr>
              <w:spacing w:after="0" w:line="240" w:lineRule="auto"/>
              <w:rPr>
                <w:rFonts w:cstheme="minorHAnsi"/>
              </w:rPr>
            </w:pPr>
            <w:r w:rsidRPr="009B13F0">
              <w:rPr>
                <w:rFonts w:cstheme="minorHAnsi"/>
              </w:rPr>
              <w:t>NA</w:t>
            </w:r>
          </w:p>
        </w:tc>
      </w:tr>
      <w:tr w:rsidR="005E2918" w14:paraId="7D5FDF9A" w14:textId="77777777" w:rsidTr="00B94259">
        <w:trPr>
          <w:trHeight w:val="283"/>
        </w:trPr>
        <w:tc>
          <w:tcPr>
            <w:tcW w:w="1416" w:type="pct"/>
          </w:tcPr>
          <w:p w14:paraId="714A0C0E" w14:textId="1E584AA2" w:rsidR="00CA3BA2" w:rsidRPr="00CA3BA2" w:rsidRDefault="00CA3BA2" w:rsidP="005E2918">
            <w:pPr>
              <w:spacing w:after="0" w:line="240" w:lineRule="auto"/>
              <w:rPr>
                <w:b/>
                <w:bCs/>
              </w:rPr>
            </w:pPr>
            <w:r>
              <w:rPr>
                <w:b/>
                <w:bCs/>
              </w:rPr>
              <w:t>Criteri di incl</w:t>
            </w:r>
            <w:r w:rsidR="009B13F0">
              <w:rPr>
                <w:b/>
                <w:bCs/>
              </w:rPr>
              <w:t>usione/esclusione</w:t>
            </w:r>
            <w:bookmarkStart w:id="0" w:name="_GoBack"/>
            <w:bookmarkEnd w:id="0"/>
          </w:p>
        </w:tc>
        <w:tc>
          <w:tcPr>
            <w:tcW w:w="3584" w:type="pct"/>
            <w:vAlign w:val="center"/>
          </w:tcPr>
          <w:p w14:paraId="3DE76EFF" w14:textId="77777777" w:rsidR="00E827E6" w:rsidRPr="009B13F0" w:rsidRDefault="00E827E6" w:rsidP="009B13F0">
            <w:pPr>
              <w:spacing w:after="0" w:line="240" w:lineRule="auto"/>
              <w:rPr>
                <w:rFonts w:cstheme="minorHAnsi"/>
                <w:b/>
              </w:rPr>
            </w:pPr>
            <w:r w:rsidRPr="009B13F0">
              <w:rPr>
                <w:rFonts w:cstheme="minorHAnsi"/>
                <w:b/>
              </w:rPr>
              <w:t>Criteri di esclusione</w:t>
            </w:r>
          </w:p>
          <w:p w14:paraId="3094F33B" w14:textId="39856D91" w:rsidR="00E827E6" w:rsidRPr="009B13F0" w:rsidRDefault="00E827E6" w:rsidP="009B13F0">
            <w:pPr>
              <w:pStyle w:val="Paragrafoelenco"/>
              <w:numPr>
                <w:ilvl w:val="0"/>
                <w:numId w:val="3"/>
              </w:numPr>
              <w:spacing w:after="0" w:line="240" w:lineRule="auto"/>
              <w:ind w:left="579" w:hanging="425"/>
              <w:rPr>
                <w:rFonts w:cstheme="minorHAnsi"/>
              </w:rPr>
            </w:pPr>
            <w:r w:rsidRPr="009B13F0">
              <w:rPr>
                <w:rFonts w:cstheme="minorHAnsi"/>
              </w:rPr>
              <w:t>Pazienti con almeno 18 anni di età, donne, di qualsiasi etnia</w:t>
            </w:r>
          </w:p>
          <w:p w14:paraId="5D43F75F" w14:textId="70B0B028" w:rsidR="00E827E6" w:rsidRPr="009B13F0" w:rsidRDefault="00E827E6" w:rsidP="009B13F0">
            <w:pPr>
              <w:pStyle w:val="Paragrafoelenco"/>
              <w:numPr>
                <w:ilvl w:val="0"/>
                <w:numId w:val="3"/>
              </w:numPr>
              <w:spacing w:after="0" w:line="240" w:lineRule="auto"/>
              <w:ind w:left="579" w:hanging="425"/>
              <w:rPr>
                <w:rFonts w:cstheme="minorHAnsi"/>
              </w:rPr>
            </w:pPr>
            <w:r w:rsidRPr="009B13F0">
              <w:rPr>
                <w:rFonts w:cstheme="minorHAnsi"/>
              </w:rPr>
              <w:t xml:space="preserve">Diagnosi istologica di cancro dell’ovaio, cancro delle tube di </w:t>
            </w:r>
            <w:proofErr w:type="spellStart"/>
            <w:r w:rsidRPr="009B13F0">
              <w:rPr>
                <w:rFonts w:cstheme="minorHAnsi"/>
              </w:rPr>
              <w:t>Falloppio</w:t>
            </w:r>
            <w:proofErr w:type="spellEnd"/>
            <w:r w:rsidRPr="009B13F0">
              <w:rPr>
                <w:rFonts w:cstheme="minorHAnsi"/>
              </w:rPr>
              <w:t xml:space="preserve"> o cancro peritoneale primario</w:t>
            </w:r>
          </w:p>
          <w:p w14:paraId="0EB8130C" w14:textId="295E94EE" w:rsidR="00E827E6" w:rsidRPr="009B13F0" w:rsidRDefault="00E827E6" w:rsidP="009B13F0">
            <w:pPr>
              <w:pStyle w:val="Paragrafoelenco"/>
              <w:numPr>
                <w:ilvl w:val="0"/>
                <w:numId w:val="3"/>
              </w:numPr>
              <w:spacing w:after="0" w:line="240" w:lineRule="auto"/>
              <w:ind w:left="579" w:hanging="425"/>
              <w:rPr>
                <w:rFonts w:cstheme="minorHAnsi"/>
              </w:rPr>
            </w:pPr>
            <w:r w:rsidRPr="009B13F0">
              <w:rPr>
                <w:rFonts w:cstheme="minorHAnsi"/>
              </w:rPr>
              <w:t xml:space="preserve">Carcinoma ovarico sieroso di alto grado o </w:t>
            </w:r>
            <w:proofErr w:type="spellStart"/>
            <w:r w:rsidRPr="009B13F0">
              <w:rPr>
                <w:rFonts w:cstheme="minorHAnsi"/>
              </w:rPr>
              <w:t>endometrioide</w:t>
            </w:r>
            <w:proofErr w:type="spellEnd"/>
            <w:r w:rsidRPr="009B13F0">
              <w:rPr>
                <w:rFonts w:cstheme="minorHAnsi"/>
              </w:rPr>
              <w:t xml:space="preserve"> di alto grado (grado 2 o 3),</w:t>
            </w:r>
            <w:r w:rsidR="00C05581" w:rsidRPr="009B13F0">
              <w:rPr>
                <w:rFonts w:cstheme="minorHAnsi"/>
              </w:rPr>
              <w:t xml:space="preserve"> </w:t>
            </w:r>
            <w:r w:rsidRPr="009B13F0">
              <w:rPr>
                <w:rFonts w:cstheme="minorHAnsi"/>
              </w:rPr>
              <w:t>oppure pazienti con mutazione di BRCA (somatica o germinale)</w:t>
            </w:r>
          </w:p>
          <w:p w14:paraId="46BF59A6" w14:textId="75D9CA72" w:rsidR="00E827E6" w:rsidRPr="009B13F0" w:rsidRDefault="00E827E6" w:rsidP="009B13F0">
            <w:pPr>
              <w:pStyle w:val="Paragrafoelenco"/>
              <w:numPr>
                <w:ilvl w:val="0"/>
                <w:numId w:val="3"/>
              </w:numPr>
              <w:spacing w:after="0" w:line="240" w:lineRule="auto"/>
              <w:ind w:left="579" w:hanging="425"/>
              <w:rPr>
                <w:rFonts w:cstheme="minorHAnsi"/>
              </w:rPr>
            </w:pPr>
            <w:r w:rsidRPr="009B13F0">
              <w:rPr>
                <w:rFonts w:cstheme="minorHAnsi"/>
              </w:rPr>
              <w:t xml:space="preserve">Pazienti che hanno ricevuto almeno 2 precedenti linee di terapia a base di platino (non necessariamente consecutive), e che hanno una patologia considerata sensibile al platino dopo aver effettuato la penultima linea di platino (periodo che corrisponde ad un tempo superiore ai 6 mesi tra la penultima linea di platino e la progressione di malattia) </w:t>
            </w:r>
          </w:p>
          <w:p w14:paraId="35DF082D" w14:textId="1C94CBDB" w:rsidR="00E827E6" w:rsidRPr="009B13F0" w:rsidRDefault="00E827E6" w:rsidP="009B13F0">
            <w:pPr>
              <w:pStyle w:val="Paragrafoelenco"/>
              <w:numPr>
                <w:ilvl w:val="0"/>
                <w:numId w:val="3"/>
              </w:numPr>
              <w:spacing w:after="0" w:line="240" w:lineRule="auto"/>
              <w:ind w:left="579" w:hanging="425"/>
              <w:rPr>
                <w:rFonts w:cstheme="minorHAnsi"/>
              </w:rPr>
            </w:pPr>
            <w:r w:rsidRPr="009B13F0">
              <w:rPr>
                <w:rFonts w:cstheme="minorHAnsi"/>
              </w:rPr>
              <w:t>Pazienti che hanno risposto all’ultima linea di platino (PR o CR)</w:t>
            </w:r>
          </w:p>
          <w:p w14:paraId="48497C24" w14:textId="6A080F06" w:rsidR="00E827E6" w:rsidRPr="009B13F0" w:rsidRDefault="00E827E6" w:rsidP="009B13F0">
            <w:pPr>
              <w:pStyle w:val="Paragrafoelenco"/>
              <w:numPr>
                <w:ilvl w:val="0"/>
                <w:numId w:val="3"/>
              </w:numPr>
              <w:spacing w:after="0" w:line="240" w:lineRule="auto"/>
              <w:ind w:left="579" w:hanging="425"/>
              <w:rPr>
                <w:rFonts w:cstheme="minorHAnsi"/>
              </w:rPr>
            </w:pPr>
            <w:r w:rsidRPr="009B13F0">
              <w:rPr>
                <w:rFonts w:cstheme="minorHAnsi"/>
              </w:rPr>
              <w:t xml:space="preserve">Pazienti arruolate entro le 8 settimane dal completamento dell’ultima linea di platino e che sono ancora in risposta a quest’ultima </w:t>
            </w:r>
          </w:p>
          <w:p w14:paraId="462C4A18" w14:textId="199A9F32" w:rsidR="00E827E6" w:rsidRPr="009B13F0" w:rsidRDefault="00E827E6" w:rsidP="009B13F0">
            <w:pPr>
              <w:pStyle w:val="Paragrafoelenco"/>
              <w:numPr>
                <w:ilvl w:val="0"/>
                <w:numId w:val="3"/>
              </w:numPr>
              <w:spacing w:after="0" w:line="240" w:lineRule="auto"/>
              <w:ind w:left="579" w:hanging="425"/>
              <w:rPr>
                <w:rFonts w:cstheme="minorHAnsi"/>
              </w:rPr>
            </w:pPr>
            <w:proofErr w:type="spellStart"/>
            <w:r w:rsidRPr="009B13F0">
              <w:rPr>
                <w:rFonts w:cstheme="minorHAnsi"/>
              </w:rPr>
              <w:t>Eastern</w:t>
            </w:r>
            <w:proofErr w:type="spellEnd"/>
            <w:r w:rsidRPr="009B13F0">
              <w:rPr>
                <w:rFonts w:cstheme="minorHAnsi"/>
              </w:rPr>
              <w:t xml:space="preserve"> Cooperative </w:t>
            </w:r>
            <w:proofErr w:type="spellStart"/>
            <w:r w:rsidRPr="009B13F0">
              <w:rPr>
                <w:rFonts w:cstheme="minorHAnsi"/>
              </w:rPr>
              <w:t>Oncology</w:t>
            </w:r>
            <w:proofErr w:type="spellEnd"/>
            <w:r w:rsidRPr="009B13F0">
              <w:rPr>
                <w:rFonts w:cstheme="minorHAnsi"/>
              </w:rPr>
              <w:t xml:space="preserve"> Group (ECOG) performance </w:t>
            </w:r>
            <w:proofErr w:type="gramStart"/>
            <w:r w:rsidRPr="009B13F0">
              <w:rPr>
                <w:rFonts w:cstheme="minorHAnsi"/>
              </w:rPr>
              <w:t>status  ≤</w:t>
            </w:r>
            <w:proofErr w:type="gramEnd"/>
            <w:r w:rsidRPr="009B13F0">
              <w:rPr>
                <w:rFonts w:cstheme="minorHAnsi"/>
              </w:rPr>
              <w:t xml:space="preserve"> 1</w:t>
            </w:r>
          </w:p>
          <w:p w14:paraId="2C234C78" w14:textId="0D4543C6" w:rsidR="00E827E6" w:rsidRPr="009B13F0" w:rsidRDefault="00E827E6" w:rsidP="009B13F0">
            <w:pPr>
              <w:pStyle w:val="Paragrafoelenco"/>
              <w:numPr>
                <w:ilvl w:val="0"/>
                <w:numId w:val="3"/>
              </w:numPr>
              <w:spacing w:after="0" w:line="240" w:lineRule="auto"/>
              <w:ind w:left="579" w:hanging="425"/>
              <w:rPr>
                <w:rFonts w:cstheme="minorHAnsi"/>
              </w:rPr>
            </w:pPr>
            <w:r w:rsidRPr="009B13F0">
              <w:rPr>
                <w:rFonts w:cstheme="minorHAnsi"/>
              </w:rPr>
              <w:t>Pazienti con midollo osseo, funzione renale ed epatica adeguati, definiti come di seguito:</w:t>
            </w:r>
          </w:p>
          <w:p w14:paraId="61395196" w14:textId="25396DE2" w:rsidR="00E827E6" w:rsidRPr="009B13F0" w:rsidRDefault="00E827E6" w:rsidP="009B13F0">
            <w:pPr>
              <w:pStyle w:val="Paragrafoelenco"/>
              <w:numPr>
                <w:ilvl w:val="1"/>
                <w:numId w:val="3"/>
              </w:numPr>
              <w:spacing w:after="0" w:line="240" w:lineRule="auto"/>
              <w:ind w:left="1005" w:hanging="426"/>
              <w:rPr>
                <w:rFonts w:cstheme="minorHAnsi"/>
              </w:rPr>
            </w:pPr>
            <w:r w:rsidRPr="009B13F0">
              <w:rPr>
                <w:rFonts w:cstheme="minorHAnsi"/>
              </w:rPr>
              <w:t>Conta assoluta dei neutrofili ≥ 1.500/µL</w:t>
            </w:r>
          </w:p>
          <w:p w14:paraId="6EFBD7F5" w14:textId="1CAF608E" w:rsidR="00E827E6" w:rsidRPr="009B13F0" w:rsidRDefault="00E827E6" w:rsidP="009B13F0">
            <w:pPr>
              <w:pStyle w:val="Paragrafoelenco"/>
              <w:numPr>
                <w:ilvl w:val="1"/>
                <w:numId w:val="3"/>
              </w:numPr>
              <w:spacing w:after="0" w:line="240" w:lineRule="auto"/>
              <w:ind w:left="1005" w:hanging="426"/>
              <w:rPr>
                <w:rFonts w:cstheme="minorHAnsi"/>
              </w:rPr>
            </w:pPr>
            <w:r w:rsidRPr="009B13F0">
              <w:rPr>
                <w:rFonts w:cstheme="minorHAnsi"/>
              </w:rPr>
              <w:t>Piastrine ≥ 100.000/µL</w:t>
            </w:r>
          </w:p>
          <w:p w14:paraId="4E98C47E" w14:textId="35B88848" w:rsidR="00E827E6" w:rsidRPr="009B13F0" w:rsidRDefault="00E827E6" w:rsidP="009B13F0">
            <w:pPr>
              <w:pStyle w:val="Paragrafoelenco"/>
              <w:numPr>
                <w:ilvl w:val="1"/>
                <w:numId w:val="3"/>
              </w:numPr>
              <w:spacing w:after="0" w:line="240" w:lineRule="auto"/>
              <w:ind w:left="1005" w:hanging="426"/>
              <w:rPr>
                <w:rFonts w:cstheme="minorHAnsi"/>
              </w:rPr>
            </w:pPr>
            <w:r w:rsidRPr="009B13F0">
              <w:rPr>
                <w:rFonts w:cstheme="minorHAnsi"/>
              </w:rPr>
              <w:t>Emoglobina ≥ 9 g/</w:t>
            </w:r>
            <w:proofErr w:type="spellStart"/>
            <w:r w:rsidRPr="009B13F0">
              <w:rPr>
                <w:rFonts w:cstheme="minorHAnsi"/>
              </w:rPr>
              <w:t>dL</w:t>
            </w:r>
            <w:proofErr w:type="spellEnd"/>
          </w:p>
          <w:p w14:paraId="55B70497" w14:textId="0109B99D" w:rsidR="00E827E6" w:rsidRPr="009B13F0" w:rsidRDefault="00E827E6" w:rsidP="009B13F0">
            <w:pPr>
              <w:pStyle w:val="Paragrafoelenco"/>
              <w:numPr>
                <w:ilvl w:val="1"/>
                <w:numId w:val="3"/>
              </w:numPr>
              <w:spacing w:after="0" w:line="240" w:lineRule="auto"/>
              <w:ind w:left="1005" w:hanging="426"/>
              <w:rPr>
                <w:rFonts w:cstheme="minorHAnsi"/>
              </w:rPr>
            </w:pPr>
            <w:r w:rsidRPr="009B13F0">
              <w:rPr>
                <w:rFonts w:cstheme="minorHAnsi"/>
              </w:rPr>
              <w:t xml:space="preserve">Creatinina sierica ≤ 1,5 x il valore Massimo del limite </w:t>
            </w:r>
            <w:proofErr w:type="spellStart"/>
            <w:r w:rsidRPr="009B13F0">
              <w:rPr>
                <w:rFonts w:cstheme="minorHAnsi"/>
              </w:rPr>
              <w:t>superior</w:t>
            </w:r>
            <w:proofErr w:type="spellEnd"/>
            <w:r w:rsidRPr="009B13F0">
              <w:rPr>
                <w:rFonts w:cstheme="minorHAnsi"/>
              </w:rPr>
              <w:t xml:space="preserve"> normale (ULN) o calcolato mediante la creatinina sierica≥ 30 </w:t>
            </w:r>
            <w:proofErr w:type="spellStart"/>
            <w:r w:rsidRPr="009B13F0">
              <w:rPr>
                <w:rFonts w:cstheme="minorHAnsi"/>
              </w:rPr>
              <w:t>mL</w:t>
            </w:r>
            <w:proofErr w:type="spellEnd"/>
            <w:r w:rsidRPr="009B13F0">
              <w:rPr>
                <w:rFonts w:cstheme="minorHAnsi"/>
              </w:rPr>
              <w:t>/</w:t>
            </w:r>
            <w:proofErr w:type="spellStart"/>
            <w:r w:rsidRPr="009B13F0">
              <w:rPr>
                <w:rFonts w:cstheme="minorHAnsi"/>
              </w:rPr>
              <w:t>min</w:t>
            </w:r>
            <w:proofErr w:type="spellEnd"/>
            <w:r w:rsidRPr="009B13F0">
              <w:rPr>
                <w:rFonts w:cstheme="minorHAnsi"/>
              </w:rPr>
              <w:t xml:space="preserve"> utilizzando l’equazione di </w:t>
            </w:r>
            <w:proofErr w:type="spellStart"/>
            <w:r w:rsidRPr="009B13F0">
              <w:rPr>
                <w:rFonts w:cstheme="minorHAnsi"/>
              </w:rPr>
              <w:t>Cockcroft</w:t>
            </w:r>
            <w:proofErr w:type="spellEnd"/>
            <w:r w:rsidRPr="009B13F0">
              <w:rPr>
                <w:rFonts w:cstheme="minorHAnsi"/>
              </w:rPr>
              <w:t xml:space="preserve">-Gault </w:t>
            </w:r>
          </w:p>
          <w:p w14:paraId="6938077E" w14:textId="4C143726" w:rsidR="00E827E6" w:rsidRPr="009B13F0" w:rsidRDefault="00E827E6" w:rsidP="009B13F0">
            <w:pPr>
              <w:pStyle w:val="Paragrafoelenco"/>
              <w:numPr>
                <w:ilvl w:val="1"/>
                <w:numId w:val="3"/>
              </w:numPr>
              <w:spacing w:after="0" w:line="240" w:lineRule="auto"/>
              <w:ind w:left="1005" w:hanging="426"/>
              <w:rPr>
                <w:rFonts w:cstheme="minorHAnsi"/>
              </w:rPr>
            </w:pPr>
            <w:r w:rsidRPr="009B13F0">
              <w:rPr>
                <w:rFonts w:cstheme="minorHAnsi"/>
              </w:rPr>
              <w:t xml:space="preserve">Bilirubina totale ≤ 1,5 x ULN (≤2.0 in pazienti con </w:t>
            </w:r>
            <w:proofErr w:type="spellStart"/>
            <w:r w:rsidRPr="009B13F0">
              <w:rPr>
                <w:rFonts w:cstheme="minorHAnsi"/>
              </w:rPr>
              <w:t>syndrome</w:t>
            </w:r>
            <w:proofErr w:type="spellEnd"/>
            <w:r w:rsidRPr="009B13F0">
              <w:rPr>
                <w:rFonts w:cstheme="minorHAnsi"/>
              </w:rPr>
              <w:t xml:space="preserve"> di </w:t>
            </w:r>
            <w:proofErr w:type="spellStart"/>
            <w:r w:rsidRPr="009B13F0">
              <w:rPr>
                <w:rFonts w:cstheme="minorHAnsi"/>
              </w:rPr>
              <w:t>Gilberts</w:t>
            </w:r>
            <w:proofErr w:type="spellEnd"/>
            <w:r w:rsidRPr="009B13F0">
              <w:rPr>
                <w:rFonts w:cstheme="minorHAnsi"/>
              </w:rPr>
              <w:t xml:space="preserve"> nota) o bilirubina diretta ≤ 1 x ULN</w:t>
            </w:r>
          </w:p>
          <w:p w14:paraId="25846988" w14:textId="7CC370FE" w:rsidR="00E827E6" w:rsidRPr="009B13F0" w:rsidRDefault="00E827E6" w:rsidP="009B13F0">
            <w:pPr>
              <w:pStyle w:val="Paragrafoelenco"/>
              <w:numPr>
                <w:ilvl w:val="1"/>
                <w:numId w:val="3"/>
              </w:numPr>
              <w:spacing w:after="0" w:line="240" w:lineRule="auto"/>
              <w:ind w:left="1005" w:hanging="426"/>
              <w:rPr>
                <w:rFonts w:cstheme="minorHAnsi"/>
              </w:rPr>
            </w:pPr>
            <w:proofErr w:type="spellStart"/>
            <w:r w:rsidRPr="009B13F0">
              <w:rPr>
                <w:rFonts w:cstheme="minorHAnsi"/>
              </w:rPr>
              <w:t>Aspartato</w:t>
            </w:r>
            <w:proofErr w:type="spellEnd"/>
            <w:r w:rsidRPr="009B13F0">
              <w:rPr>
                <w:rFonts w:cstheme="minorHAnsi"/>
              </w:rPr>
              <w:t xml:space="preserve"> aminotransferasi e alanina aminotransferasi ≤ 2,5 x ULN a meno che non vi sia presenza di metastasi epatiche, nel cui caso il valore</w:t>
            </w:r>
            <w:r w:rsidR="001D01A6" w:rsidRPr="009B13F0">
              <w:rPr>
                <w:rFonts w:cstheme="minorHAnsi"/>
              </w:rPr>
              <w:t xml:space="preserve"> deve corrispondere a ≤ 5 x ULN</w:t>
            </w:r>
          </w:p>
          <w:p w14:paraId="63D14A70" w14:textId="2617EB49" w:rsidR="00E827E6" w:rsidRPr="009B13F0" w:rsidRDefault="00E827E6" w:rsidP="009B13F0">
            <w:pPr>
              <w:pStyle w:val="Paragrafoelenco"/>
              <w:numPr>
                <w:ilvl w:val="0"/>
                <w:numId w:val="3"/>
              </w:numPr>
              <w:spacing w:after="0" w:line="240" w:lineRule="auto"/>
              <w:ind w:left="579" w:hanging="425"/>
              <w:rPr>
                <w:rFonts w:cstheme="minorHAnsi"/>
              </w:rPr>
            </w:pPr>
            <w:r w:rsidRPr="009B13F0">
              <w:rPr>
                <w:rFonts w:cstheme="minorHAnsi"/>
              </w:rPr>
              <w:t xml:space="preserve">Pazienti che ricevono corticosteroidi, </w:t>
            </w:r>
            <w:proofErr w:type="spellStart"/>
            <w:r w:rsidRPr="009B13F0">
              <w:rPr>
                <w:rFonts w:cstheme="minorHAnsi"/>
              </w:rPr>
              <w:t>purchè</w:t>
            </w:r>
            <w:proofErr w:type="spellEnd"/>
            <w:r w:rsidRPr="009B13F0">
              <w:rPr>
                <w:rFonts w:cstheme="minorHAnsi"/>
              </w:rPr>
              <w:t xml:space="preserve"> le dosi rimangano invariate almeno per le 4 settimane precedenti l’inizio della terapia stabilita nel protocollo</w:t>
            </w:r>
          </w:p>
          <w:p w14:paraId="6F21A831" w14:textId="72634A4B" w:rsidR="00E827E6" w:rsidRPr="009B13F0" w:rsidRDefault="00E827E6" w:rsidP="009B13F0">
            <w:pPr>
              <w:pStyle w:val="Paragrafoelenco"/>
              <w:numPr>
                <w:ilvl w:val="0"/>
                <w:numId w:val="3"/>
              </w:numPr>
              <w:spacing w:after="0" w:line="240" w:lineRule="auto"/>
              <w:ind w:left="579" w:hanging="425"/>
              <w:rPr>
                <w:rFonts w:cstheme="minorHAnsi"/>
              </w:rPr>
            </w:pPr>
            <w:r w:rsidRPr="009B13F0">
              <w:rPr>
                <w:rFonts w:cstheme="minorHAnsi"/>
              </w:rPr>
              <w:t xml:space="preserve">Pazienti fertili dovranno effettuare il test di gravidanza o delle urine entro 7 giorni dall’inizio del trattamento, il cui risultato dovrà essere negativo. Inoltre dovranno astenersi dall’avere rapporti sessuali a partire dallo screening fino a 180 giorni dopo l’ultima dose del trattamento in studio o munirsi di adeguati metodi contraccettivi durante tutto il periodo dello studio. Tali metodi includono: contraccezione ormonale combinata, contenente estrogeni e progestinici (orale, </w:t>
            </w:r>
            <w:proofErr w:type="spellStart"/>
            <w:r w:rsidRPr="009B13F0">
              <w:rPr>
                <w:rFonts w:cstheme="minorHAnsi"/>
              </w:rPr>
              <w:t>intravaginale</w:t>
            </w:r>
            <w:proofErr w:type="spellEnd"/>
            <w:r w:rsidRPr="009B13F0">
              <w:rPr>
                <w:rFonts w:cstheme="minorHAnsi"/>
              </w:rPr>
              <w:t xml:space="preserve">, transdermica), contraccezione ormonale a base di solo progestinico (orale, iniettabile, impiantabile), dispositivo intrauterino (IUD), sistema di rilascio dell'ormone intrauterino (IUS), occlusione tubarica bilaterale, vasectomia del partner. Pazienti non fertili di età ≥45 anni che non hanno il ciclo mestruale da più di un anno. Pazienti che sono state amenorroiche per meno di 2 anni senza storia di isterectomia e ooforectomia con valori dell’ormone follicolo stimolante allo screening nel </w:t>
            </w:r>
            <w:proofErr w:type="spellStart"/>
            <w:r w:rsidRPr="009B13F0">
              <w:rPr>
                <w:rFonts w:cstheme="minorHAnsi"/>
              </w:rPr>
              <w:t>range</w:t>
            </w:r>
            <w:proofErr w:type="spellEnd"/>
            <w:r w:rsidRPr="009B13F0">
              <w:rPr>
                <w:rFonts w:cstheme="minorHAnsi"/>
              </w:rPr>
              <w:t xml:space="preserve"> corrispondente ad una situazione di post-menopausa. Pazienti che hanno subito isterectomia, ooforectomia bilaterale o legatura delle tube (l’avvenuta isterectomia o ooforectomia deve essere confermata mediante risultati medici o mediante ultrasuoni, la legatura delle tube deve essere confermata da risultati medici, altrimenti la paziente deve essere disposta ad utilizzare due metodi contraccettivi adeguati durante lo studio, a partire dalla visita di screening fino a 180 giorni dopo l’ultima dose del trattamento in studio). </w:t>
            </w:r>
          </w:p>
          <w:p w14:paraId="05996E2C" w14:textId="52C7A693" w:rsidR="00E827E6" w:rsidRPr="009B13F0" w:rsidRDefault="00E827E6" w:rsidP="009B13F0">
            <w:pPr>
              <w:pStyle w:val="Paragrafoelenco"/>
              <w:numPr>
                <w:ilvl w:val="0"/>
                <w:numId w:val="3"/>
              </w:numPr>
              <w:spacing w:after="0" w:line="240" w:lineRule="auto"/>
              <w:ind w:left="579" w:hanging="425"/>
              <w:rPr>
                <w:rFonts w:cstheme="minorHAnsi"/>
              </w:rPr>
            </w:pPr>
            <w:r w:rsidRPr="009B13F0">
              <w:rPr>
                <w:rFonts w:cstheme="minorHAnsi"/>
              </w:rPr>
              <w:t>Le pazienti in allattamento che acconsentono a non allattare per tutta la durata dello studio fino ai 180 giorni successivi all’ultima dose del trattamento in studio.</w:t>
            </w:r>
          </w:p>
          <w:p w14:paraId="6A244AF9" w14:textId="7A933966" w:rsidR="00E827E6" w:rsidRPr="009B13F0" w:rsidRDefault="00E827E6" w:rsidP="009B13F0">
            <w:pPr>
              <w:pStyle w:val="Paragrafoelenco"/>
              <w:numPr>
                <w:ilvl w:val="0"/>
                <w:numId w:val="3"/>
              </w:numPr>
              <w:spacing w:after="0" w:line="240" w:lineRule="auto"/>
              <w:ind w:left="579" w:hanging="425"/>
              <w:rPr>
                <w:rFonts w:cstheme="minorHAnsi"/>
              </w:rPr>
            </w:pPr>
            <w:r w:rsidRPr="009B13F0">
              <w:rPr>
                <w:rFonts w:cstheme="minorHAnsi"/>
              </w:rPr>
              <w:t>Capacità di comprendere le procedure dello studio e consenso informato scritto</w:t>
            </w:r>
          </w:p>
          <w:p w14:paraId="15BC4209" w14:textId="2D2B0EB3" w:rsidR="00E827E6" w:rsidRPr="009B13F0" w:rsidRDefault="00E827E6" w:rsidP="009B13F0">
            <w:pPr>
              <w:pStyle w:val="Paragrafoelenco"/>
              <w:numPr>
                <w:ilvl w:val="0"/>
                <w:numId w:val="3"/>
              </w:numPr>
              <w:spacing w:after="0" w:line="240" w:lineRule="auto"/>
              <w:ind w:left="579" w:hanging="425"/>
              <w:rPr>
                <w:rFonts w:cstheme="minorHAnsi"/>
              </w:rPr>
            </w:pPr>
            <w:r w:rsidRPr="009B13F0">
              <w:rPr>
                <w:rFonts w:cstheme="minorHAnsi"/>
              </w:rPr>
              <w:t xml:space="preserve">Pazienti con valori di pressione nella norma o con ipertensione controllata e adeguatamente trattata (i.e. pressione sistolica ≤ 140 </w:t>
            </w:r>
            <w:proofErr w:type="spellStart"/>
            <w:r w:rsidRPr="009B13F0">
              <w:rPr>
                <w:rFonts w:cstheme="minorHAnsi"/>
              </w:rPr>
              <w:t>mmHg</w:t>
            </w:r>
            <w:proofErr w:type="spellEnd"/>
            <w:r w:rsidRPr="009B13F0">
              <w:rPr>
                <w:rFonts w:cstheme="minorHAnsi"/>
              </w:rPr>
              <w:t xml:space="preserve"> e pressione diastolica ≤ 90 </w:t>
            </w:r>
            <w:proofErr w:type="spellStart"/>
            <w:r w:rsidRPr="009B13F0">
              <w:rPr>
                <w:rFonts w:cstheme="minorHAnsi"/>
              </w:rPr>
              <w:t>mmHg</w:t>
            </w:r>
            <w:proofErr w:type="spellEnd"/>
            <w:r w:rsidRPr="009B13F0">
              <w:rPr>
                <w:rFonts w:cstheme="minorHAnsi"/>
              </w:rPr>
              <w:t>)</w:t>
            </w:r>
          </w:p>
          <w:p w14:paraId="64938861" w14:textId="77777777" w:rsidR="00E827E6" w:rsidRPr="009B13F0" w:rsidRDefault="00E827E6" w:rsidP="009B13F0">
            <w:pPr>
              <w:spacing w:after="0" w:line="240" w:lineRule="auto"/>
              <w:rPr>
                <w:rFonts w:cstheme="minorHAnsi"/>
                <w:b/>
              </w:rPr>
            </w:pPr>
            <w:r w:rsidRPr="009B13F0">
              <w:rPr>
                <w:rFonts w:cstheme="minorHAnsi"/>
                <w:b/>
              </w:rPr>
              <w:t>Criteri di esclusione</w:t>
            </w:r>
          </w:p>
          <w:p w14:paraId="3ED8BD86" w14:textId="749D4F6B"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Pazienti già arruolate in un altro studio di tipo interventistico</w:t>
            </w:r>
          </w:p>
          <w:p w14:paraId="1BEB9413" w14:textId="031C84C0"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 xml:space="preserve">Presenza di cancro invasivo oltre il cancro ovarico nei 2 anni precedenti l’arruolamento (ad eccezione del carcinoma della pelle </w:t>
            </w:r>
            <w:proofErr w:type="spellStart"/>
            <w:r w:rsidRPr="009B13F0">
              <w:rPr>
                <w:rFonts w:cstheme="minorHAnsi"/>
              </w:rPr>
              <w:t>basocellulare</w:t>
            </w:r>
            <w:proofErr w:type="spellEnd"/>
            <w:r w:rsidRPr="009B13F0">
              <w:rPr>
                <w:rFonts w:cstheme="minorHAnsi"/>
              </w:rPr>
              <w:t xml:space="preserve"> o a cellule squamose che è stato trattato definitivamente)</w:t>
            </w:r>
          </w:p>
          <w:p w14:paraId="379C60F0" w14:textId="61F055CA"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 xml:space="preserve">Pazienti con sintomi di metastasi cerebrali o </w:t>
            </w:r>
            <w:proofErr w:type="spellStart"/>
            <w:r w:rsidRPr="009B13F0">
              <w:rPr>
                <w:rFonts w:cstheme="minorHAnsi"/>
              </w:rPr>
              <w:t>leptomeningee</w:t>
            </w:r>
            <w:proofErr w:type="spellEnd"/>
          </w:p>
          <w:p w14:paraId="053FAE55" w14:textId="4C0A27F0"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 xml:space="preserve">Pazienti </w:t>
            </w:r>
            <w:proofErr w:type="spellStart"/>
            <w:r w:rsidRPr="009B13F0">
              <w:rPr>
                <w:rFonts w:cstheme="minorHAnsi"/>
              </w:rPr>
              <w:t>immunocompromesse</w:t>
            </w:r>
            <w:proofErr w:type="spellEnd"/>
            <w:r w:rsidRPr="009B13F0">
              <w:rPr>
                <w:rFonts w:cstheme="minorHAnsi"/>
              </w:rPr>
              <w:t xml:space="preserve"> </w:t>
            </w:r>
          </w:p>
          <w:p w14:paraId="770FAFDE" w14:textId="24B716DF"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Pazienti con patologie epatiche</w:t>
            </w:r>
          </w:p>
          <w:p w14:paraId="2FDAD24F" w14:textId="510E6123"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Pazienti che hanno già effettuato trattamenti precedenti con PARP inibitori</w:t>
            </w:r>
          </w:p>
          <w:p w14:paraId="78C2E182" w14:textId="4F0DE398"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Pazienti che hanno subito un intervento importante nelle 3 settimane precedenti l’inizio della terapia stabilita dal protocollo e che hanno riportato una qualsiasi sequela della chirurgia ancora non risolta</w:t>
            </w:r>
          </w:p>
          <w:p w14:paraId="67523CFF" w14:textId="1712A25E"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 xml:space="preserve">Pazienti che hanno ricevuto un farmaco sperimentale nelle 4 settimane precedenti l’inizio della terapia in studio oppure in un intervallo di tempo inferiore alle 5 emivite del farmaco stesso </w:t>
            </w:r>
          </w:p>
          <w:p w14:paraId="58FAFDBE" w14:textId="532820D7"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 xml:space="preserve">Pazienti che hanno effettuato una radioterapia che ha coinvolto il 20% o più del midollo osseo nelle 2 settimane precedenti l’inizio di </w:t>
            </w:r>
            <w:proofErr w:type="spellStart"/>
            <w:r w:rsidRPr="009B13F0">
              <w:rPr>
                <w:rFonts w:cstheme="minorHAnsi"/>
              </w:rPr>
              <w:t>niraparib</w:t>
            </w:r>
            <w:proofErr w:type="spellEnd"/>
            <w:r w:rsidRPr="009B13F0">
              <w:rPr>
                <w:rFonts w:cstheme="minorHAnsi"/>
              </w:rPr>
              <w:t xml:space="preserve"> </w:t>
            </w:r>
          </w:p>
          <w:p w14:paraId="2FE54C93" w14:textId="5708CB21"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 xml:space="preserve">Pazienti che hanno effettuato qualsiasi radioterapia 1 settimana prima dell’inizio di </w:t>
            </w:r>
            <w:proofErr w:type="spellStart"/>
            <w:r w:rsidRPr="009B13F0">
              <w:rPr>
                <w:rFonts w:cstheme="minorHAnsi"/>
              </w:rPr>
              <w:t>niraparib</w:t>
            </w:r>
            <w:proofErr w:type="spellEnd"/>
          </w:p>
          <w:p w14:paraId="0AB7621F" w14:textId="4E8D5837"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 xml:space="preserve">Pazienti con nota ipersensibilità al </w:t>
            </w:r>
            <w:proofErr w:type="spellStart"/>
            <w:r w:rsidRPr="009B13F0">
              <w:rPr>
                <w:rFonts w:cstheme="minorHAnsi"/>
              </w:rPr>
              <w:t>niraparib</w:t>
            </w:r>
            <w:proofErr w:type="spellEnd"/>
            <w:r w:rsidRPr="009B13F0">
              <w:rPr>
                <w:rFonts w:cstheme="minorHAnsi"/>
              </w:rPr>
              <w:t xml:space="preserve"> o ai suoi eccipienti.</w:t>
            </w:r>
          </w:p>
          <w:p w14:paraId="383BF403" w14:textId="6F09F533"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Pazienti che hanno ricevuto una trasfusione (di piastrine o di globuli rossi) nelle 4 settimane prima dell’inizio della terapia prevista dal protocollo.</w:t>
            </w:r>
          </w:p>
          <w:p w14:paraId="6F0CEC22" w14:textId="1A2AFCA9"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Pazienti che hanno ricevuto fattori stimolanti le colonie (e.g. fattori stimolanti le colonie granulocitarie, fattori stimolanti le colonie granulocitarie-</w:t>
            </w:r>
            <w:proofErr w:type="spellStart"/>
            <w:r w:rsidRPr="009B13F0">
              <w:rPr>
                <w:rFonts w:cstheme="minorHAnsi"/>
              </w:rPr>
              <w:t>macrofagiche</w:t>
            </w:r>
            <w:proofErr w:type="spellEnd"/>
            <w:r w:rsidRPr="009B13F0">
              <w:rPr>
                <w:rFonts w:cstheme="minorHAnsi"/>
              </w:rPr>
              <w:t xml:space="preserve">) nelle 4 settimane precedenti l’inizio della terapia prevista dal protocollo. </w:t>
            </w:r>
          </w:p>
          <w:p w14:paraId="5DCBB468" w14:textId="75099E98"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Pazienti che hanno sperimentato anemia, neutropenia o trombocitopenia di grado 3 o 4 con una durata superiore alle 4 settimane durante l’ultima linea di trattamento ricevuto.</w:t>
            </w:r>
          </w:p>
          <w:p w14:paraId="6AD4F4E3" w14:textId="3A42181E" w:rsidR="00E827E6" w:rsidRPr="009B13F0" w:rsidRDefault="00E827E6" w:rsidP="009B13F0">
            <w:pPr>
              <w:pStyle w:val="Paragrafoelenco"/>
              <w:numPr>
                <w:ilvl w:val="0"/>
                <w:numId w:val="17"/>
              </w:numPr>
              <w:spacing w:after="0" w:line="240" w:lineRule="auto"/>
              <w:ind w:left="579" w:hanging="425"/>
              <w:rPr>
                <w:rFonts w:cstheme="minorHAnsi"/>
              </w:rPr>
            </w:pPr>
            <w:r w:rsidRPr="009B13F0">
              <w:rPr>
                <w:rFonts w:cstheme="minorHAnsi"/>
              </w:rPr>
              <w:t xml:space="preserve">Pazienti con storia di sindrome </w:t>
            </w:r>
            <w:proofErr w:type="spellStart"/>
            <w:r w:rsidRPr="009B13F0">
              <w:rPr>
                <w:rFonts w:cstheme="minorHAnsi"/>
              </w:rPr>
              <w:t>mielodisplastica</w:t>
            </w:r>
            <w:proofErr w:type="spellEnd"/>
            <w:r w:rsidRPr="009B13F0">
              <w:rPr>
                <w:rFonts w:cstheme="minorHAnsi"/>
              </w:rPr>
              <w:t xml:space="preserve"> (MDS) o leucemia mieloide acuta (AML) </w:t>
            </w:r>
          </w:p>
          <w:p w14:paraId="497A8C29" w14:textId="0B2F1C37" w:rsidR="00E827E6" w:rsidRPr="009B13F0" w:rsidRDefault="00E827E6" w:rsidP="009B13F0">
            <w:pPr>
              <w:pStyle w:val="Paragrafoelenco"/>
              <w:numPr>
                <w:ilvl w:val="0"/>
                <w:numId w:val="17"/>
              </w:numPr>
              <w:spacing w:after="0" w:line="240" w:lineRule="auto"/>
              <w:ind w:left="579" w:hanging="425"/>
              <w:rPr>
                <w:rFonts w:cstheme="minorHAnsi"/>
                <w:b/>
              </w:rPr>
            </w:pPr>
            <w:r w:rsidRPr="009B13F0">
              <w:rPr>
                <w:rFonts w:cstheme="minorHAnsi"/>
              </w:rPr>
              <w:t>Pazienti affette da una malattia seria non controllata. Esempi sono: patologia sistemica non maligna, un’infezione attiva non controllata, aritmia ventricolare non controllabile, recente infarto del miocardio (nei 90 giorni precedenti l’inizio della terapia prevista dal protocollo), epilessia maggiore incontrollata, compressione instabile del midollo spinale, sindrome della vena cava superiore, o disturbi psichiatrici che non consentono l’ottenimento del consenso informato.</w:t>
            </w:r>
          </w:p>
        </w:tc>
      </w:tr>
    </w:tbl>
    <w:p w14:paraId="7A4DB40E" w14:textId="77777777" w:rsidR="00CA3BA2" w:rsidRDefault="00CA3BA2" w:rsidP="004B78C3">
      <w:pPr>
        <w:spacing w:line="240" w:lineRule="auto"/>
        <w:jc w:val="both"/>
      </w:pPr>
    </w:p>
    <w:sectPr w:rsidR="00CA3B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D5935"/>
    <w:multiLevelType w:val="multilevel"/>
    <w:tmpl w:val="F85CA19E"/>
    <w:lvl w:ilvl="0">
      <w:start w:val="1"/>
      <w:numFmt w:val="bullet"/>
      <w:lvlText w:val="-"/>
      <w:lvlJc w:val="left"/>
      <w:pPr>
        <w:ind w:left="360" w:hanging="360"/>
      </w:pPr>
      <w:rPr>
        <w:rFonts w:ascii="Times New Roman" w:hAnsi="Times New Roman" w:cs="Times New Roman"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1DE2EE6"/>
    <w:multiLevelType w:val="hybridMultilevel"/>
    <w:tmpl w:val="BCBC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73DF5"/>
    <w:multiLevelType w:val="hybridMultilevel"/>
    <w:tmpl w:val="632C155C"/>
    <w:lvl w:ilvl="0" w:tplc="0990230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D2B96"/>
    <w:multiLevelType w:val="hybridMultilevel"/>
    <w:tmpl w:val="AC48F8D6"/>
    <w:lvl w:ilvl="0" w:tplc="0410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26B7D"/>
    <w:multiLevelType w:val="hybridMultilevel"/>
    <w:tmpl w:val="DF5086D0"/>
    <w:lvl w:ilvl="0" w:tplc="0410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6C2E22"/>
    <w:multiLevelType w:val="hybridMultilevel"/>
    <w:tmpl w:val="2AB02710"/>
    <w:lvl w:ilvl="0" w:tplc="EDB843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F44BF"/>
    <w:multiLevelType w:val="multilevel"/>
    <w:tmpl w:val="3D9C059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1FB291C"/>
    <w:multiLevelType w:val="hybridMultilevel"/>
    <w:tmpl w:val="A02C55E6"/>
    <w:lvl w:ilvl="0" w:tplc="04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1A6750"/>
    <w:multiLevelType w:val="multilevel"/>
    <w:tmpl w:val="8A64C024"/>
    <w:lvl w:ilvl="0">
      <w:start w:val="1"/>
      <w:numFmt w:val="bullet"/>
      <w:lvlText w:val="-"/>
      <w:lvlJc w:val="left"/>
      <w:pPr>
        <w:ind w:left="360" w:hanging="360"/>
      </w:pPr>
      <w:rPr>
        <w:rFonts w:ascii="Times New Roman" w:hAnsi="Times New Roman" w:cs="Times New Roman"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6587D32"/>
    <w:multiLevelType w:val="multilevel"/>
    <w:tmpl w:val="6ACEB7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876463B"/>
    <w:multiLevelType w:val="hybridMultilevel"/>
    <w:tmpl w:val="17F0A932"/>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54124"/>
    <w:multiLevelType w:val="hybridMultilevel"/>
    <w:tmpl w:val="A3B61F84"/>
    <w:lvl w:ilvl="0" w:tplc="B0042CB0">
      <w:start w:val="3"/>
      <w:numFmt w:val="bullet"/>
      <w:lvlText w:val="•"/>
      <w:lvlJc w:val="left"/>
      <w:pPr>
        <w:ind w:left="1065" w:hanging="70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640A2"/>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BD86390"/>
    <w:multiLevelType w:val="hybridMultilevel"/>
    <w:tmpl w:val="63B8E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C81845"/>
    <w:multiLevelType w:val="hybridMultilevel"/>
    <w:tmpl w:val="4E70B4C8"/>
    <w:lvl w:ilvl="0" w:tplc="CB528FC2">
      <w:start w:val="1"/>
      <w:numFmt w:val="decimal"/>
      <w:lvlText w:val="%1."/>
      <w:lvlJc w:val="left"/>
      <w:pPr>
        <w:ind w:left="975" w:hanging="615"/>
      </w:pPr>
      <w:rPr>
        <w:rFonts w:hint="default"/>
      </w:rPr>
    </w:lvl>
    <w:lvl w:ilvl="1" w:tplc="D4AA0FFA">
      <w:start w:val="1"/>
      <w:numFmt w:val="lowerLetter"/>
      <w:lvlText w:val="%2."/>
      <w:lvlJc w:val="left"/>
      <w:pPr>
        <w:ind w:left="1785" w:hanging="70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A63EDD"/>
    <w:multiLevelType w:val="hybridMultilevel"/>
    <w:tmpl w:val="0DFCD1FC"/>
    <w:lvl w:ilvl="0" w:tplc="D816658C">
      <w:start w:val="3"/>
      <w:numFmt w:val="bullet"/>
      <w:lvlText w:val="•"/>
      <w:lvlJc w:val="left"/>
      <w:pPr>
        <w:ind w:left="1065" w:hanging="70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060477"/>
    <w:multiLevelType w:val="multilevel"/>
    <w:tmpl w:val="0B04F67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F227F81"/>
    <w:multiLevelType w:val="hybridMultilevel"/>
    <w:tmpl w:val="543600AE"/>
    <w:lvl w:ilvl="0" w:tplc="755E0030">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4"/>
  </w:num>
  <w:num w:numId="4">
    <w:abstractNumId w:val="14"/>
  </w:num>
  <w:num w:numId="5">
    <w:abstractNumId w:val="1"/>
  </w:num>
  <w:num w:numId="6">
    <w:abstractNumId w:val="5"/>
  </w:num>
  <w:num w:numId="7">
    <w:abstractNumId w:val="10"/>
  </w:num>
  <w:num w:numId="8">
    <w:abstractNumId w:val="15"/>
  </w:num>
  <w:num w:numId="9">
    <w:abstractNumId w:val="12"/>
  </w:num>
  <w:num w:numId="10">
    <w:abstractNumId w:val="11"/>
  </w:num>
  <w:num w:numId="11">
    <w:abstractNumId w:val="16"/>
  </w:num>
  <w:num w:numId="12">
    <w:abstractNumId w:val="8"/>
  </w:num>
  <w:num w:numId="13">
    <w:abstractNumId w:val="9"/>
  </w:num>
  <w:num w:numId="14">
    <w:abstractNumId w:val="0"/>
  </w:num>
  <w:num w:numId="15">
    <w:abstractNumId w:val="6"/>
  </w:num>
  <w:num w:numId="16">
    <w:abstractNumId w:val="2"/>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A2"/>
    <w:rsid w:val="001D01A6"/>
    <w:rsid w:val="00214827"/>
    <w:rsid w:val="00267CAC"/>
    <w:rsid w:val="002A5212"/>
    <w:rsid w:val="003B1506"/>
    <w:rsid w:val="004B78C3"/>
    <w:rsid w:val="004F42B2"/>
    <w:rsid w:val="0053214A"/>
    <w:rsid w:val="005C7179"/>
    <w:rsid w:val="005E2918"/>
    <w:rsid w:val="006C1C6A"/>
    <w:rsid w:val="007526C5"/>
    <w:rsid w:val="009027CC"/>
    <w:rsid w:val="009B13F0"/>
    <w:rsid w:val="009F703F"/>
    <w:rsid w:val="00B94259"/>
    <w:rsid w:val="00BD5799"/>
    <w:rsid w:val="00C05581"/>
    <w:rsid w:val="00CA3BA2"/>
    <w:rsid w:val="00E827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780A"/>
  <w15:chartTrackingRefBased/>
  <w15:docId w15:val="{30CF48B6-8BB8-4312-9076-FE4127FB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A3BA2"/>
    <w:pPr>
      <w:autoSpaceDE w:val="0"/>
      <w:autoSpaceDN w:val="0"/>
      <w:adjustRightInd w:val="0"/>
      <w:spacing w:after="0" w:line="240" w:lineRule="auto"/>
    </w:pPr>
    <w:rPr>
      <w:rFonts w:ascii="Times New Roman" w:hAnsi="Times New Roman" w:cs="Times New Roman"/>
      <w:color w:val="000000"/>
      <w:sz w:val="24"/>
      <w:szCs w:val="24"/>
    </w:rPr>
  </w:style>
  <w:style w:type="paragraph" w:styleId="Nessunaspaziatura">
    <w:name w:val="No Spacing"/>
    <w:basedOn w:val="Normale"/>
    <w:uiPriority w:val="1"/>
    <w:qFormat/>
    <w:rsid w:val="00E827E6"/>
    <w:pPr>
      <w:spacing w:after="0" w:line="240" w:lineRule="auto"/>
    </w:pPr>
    <w:rPr>
      <w:rFonts w:ascii="Calibri" w:eastAsia="Times New Roman" w:hAnsi="Calibri" w:cs="Times New Roman"/>
      <w:lang w:val="en-US" w:bidi="en-US"/>
    </w:rPr>
  </w:style>
  <w:style w:type="paragraph" w:customStyle="1" w:styleId="Paragrafoelenco1">
    <w:name w:val="Paragrafo elenco1"/>
    <w:rsid w:val="00E827E6"/>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20" w:after="0" w:line="360" w:lineRule="auto"/>
      <w:ind w:left="502" w:hanging="360"/>
      <w:jc w:val="both"/>
    </w:pPr>
    <w:rPr>
      <w:rFonts w:ascii="Times New Roman" w:eastAsia="Arial Unicode MS" w:hAnsi="Arial Unicode MS" w:cs="Arial Unicode MS"/>
      <w:color w:val="000000"/>
      <w:sz w:val="20"/>
      <w:szCs w:val="20"/>
      <w:u w:color="000000"/>
      <w:lang w:val="en-US" w:eastAsia="it-IT"/>
    </w:rPr>
  </w:style>
  <w:style w:type="paragraph" w:styleId="Paragrafoelenco">
    <w:name w:val="List Paragraph"/>
    <w:basedOn w:val="Normale"/>
    <w:uiPriority w:val="34"/>
    <w:qFormat/>
    <w:rsid w:val="00E827E6"/>
    <w:pPr>
      <w:ind w:left="720"/>
      <w:contextualSpacing/>
    </w:pPr>
  </w:style>
  <w:style w:type="paragraph" w:customStyle="1" w:styleId="Corpo">
    <w:name w:val="Corpo"/>
    <w:rsid w:val="006C1C6A"/>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20" w:after="0" w:line="360" w:lineRule="auto"/>
      <w:jc w:val="both"/>
    </w:pPr>
    <w:rPr>
      <w:rFonts w:ascii="Times New Roman" w:eastAsia="Arial Unicode MS" w:hAnsi="Arial Unicode MS" w:cs="Arial Unicode MS"/>
      <w:color w:val="000000"/>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1577</Words>
  <Characters>8995</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di giacomo</dc:creator>
  <cp:keywords/>
  <dc:description/>
  <cp:lastModifiedBy>Emanuele Manuel Negri</cp:lastModifiedBy>
  <cp:revision>20</cp:revision>
  <dcterms:created xsi:type="dcterms:W3CDTF">2023-02-13T17:58:00Z</dcterms:created>
  <dcterms:modified xsi:type="dcterms:W3CDTF">2023-03-13T10:29:00Z</dcterms:modified>
</cp:coreProperties>
</file>